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0" w:firstLineChars="0"/>
        <w:jc w:val="center"/>
        <w:textAlignment w:val="auto"/>
        <w:rPr>
          <w:rFonts w:hint="eastAsia" w:ascii="宋体" w:hAnsi="宋体" w:eastAsia="宋体" w:cs="宋体"/>
          <w:b/>
          <w:bCs/>
          <w:spacing w:val="0"/>
          <w:sz w:val="36"/>
          <w:szCs w:val="36"/>
          <w:highlight w:val="none"/>
          <w:lang w:val="en-US" w:eastAsia="zh-CN"/>
        </w:rPr>
      </w:pPr>
      <w:r>
        <w:rPr>
          <w:rFonts w:hint="eastAsia" w:ascii="宋体" w:hAnsi="宋体" w:eastAsia="宋体" w:cs="宋体"/>
          <w:b/>
          <w:bCs/>
          <w:spacing w:val="0"/>
          <w:sz w:val="36"/>
          <w:szCs w:val="36"/>
          <w:highlight w:val="none"/>
          <w:lang w:val="en-US" w:eastAsia="zh-CN"/>
        </w:rPr>
        <w:t>第五次全国经济普查专项经费项目</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0" w:firstLineChars="0"/>
        <w:jc w:val="center"/>
        <w:textAlignment w:val="auto"/>
        <w:rPr>
          <w:rFonts w:hint="eastAsia" w:ascii="宋体" w:hAnsi="宋体" w:eastAsia="宋体" w:cs="宋体"/>
          <w:b/>
          <w:bCs/>
          <w:spacing w:val="0"/>
          <w:sz w:val="36"/>
          <w:szCs w:val="36"/>
          <w:highlight w:val="none"/>
          <w:lang w:val="en-US" w:eastAsia="zh-CN"/>
        </w:rPr>
      </w:pPr>
      <w:r>
        <w:rPr>
          <w:rFonts w:hint="eastAsia" w:ascii="宋体" w:hAnsi="宋体" w:eastAsia="宋体" w:cs="宋体"/>
          <w:b/>
          <w:bCs/>
          <w:spacing w:val="0"/>
          <w:sz w:val="36"/>
          <w:szCs w:val="36"/>
          <w:highlight w:val="none"/>
          <w:lang w:val="en-US" w:eastAsia="zh-CN"/>
        </w:rPr>
        <w:t>绩效评价报告</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right="74" w:rightChars="25"/>
        <w:jc w:val="right"/>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right="74" w:rightChars="25"/>
        <w:jc w:val="right"/>
        <w:textAlignment w:val="auto"/>
        <w:rPr>
          <w:rFonts w:hint="eastAsia" w:ascii="楷体" w:hAnsi="楷体" w:eastAsia="楷体" w:cs="楷体"/>
          <w:b/>
          <w:bCs/>
          <w:spacing w:val="0"/>
          <w:sz w:val="32"/>
          <w:szCs w:val="32"/>
          <w:highlight w:val="none"/>
          <w:lang w:val="en-US" w:eastAsia="zh-CN"/>
        </w:rPr>
      </w:pPr>
      <w:bookmarkStart w:id="0" w:name="_GoBack"/>
      <w:bookmarkEnd w:id="0"/>
      <w:r>
        <w:rPr>
          <w:rFonts w:hint="eastAsia" w:ascii="仿宋" w:hAnsi="仿宋" w:eastAsia="仿宋" w:cs="仿宋"/>
          <w:b w:val="0"/>
          <w:bCs w:val="0"/>
          <w:spacing w:val="-51"/>
          <w:sz w:val="32"/>
          <w:szCs w:val="32"/>
          <w:highlight w:val="none"/>
          <w:lang w:val="en-US" w:eastAsia="zh-CN"/>
        </w:rPr>
        <w:t>中瀚咨字[2025]25013-1号</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Chars="200" w:right="74" w:rightChars="25"/>
        <w:jc w:val="both"/>
        <w:textAlignment w:val="auto"/>
        <w:rPr>
          <w:rFonts w:hint="eastAsia" w:ascii="黑体" w:hAnsi="黑体" w:eastAsia="黑体" w:cs="黑体"/>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Chars="200" w:right="74" w:rightChars="25"/>
        <w:jc w:val="both"/>
        <w:textAlignment w:val="auto"/>
        <w:rPr>
          <w:rFonts w:hint="eastAsia" w:ascii="仿宋" w:hAnsi="仿宋" w:eastAsia="仿宋" w:cs="仿宋"/>
          <w:b w:val="0"/>
          <w:bCs w:val="0"/>
          <w:spacing w:val="-51"/>
          <w:sz w:val="32"/>
          <w:szCs w:val="32"/>
          <w:highlight w:val="none"/>
          <w:lang w:val="en-US" w:eastAsia="zh-CN"/>
        </w:rPr>
      </w:pPr>
      <w:r>
        <w:rPr>
          <w:rFonts w:hint="eastAsia" w:ascii="黑体" w:hAnsi="黑体" w:eastAsia="黑体" w:cs="黑体"/>
          <w:b w:val="0"/>
          <w:bCs w:val="0"/>
          <w:spacing w:val="-51"/>
          <w:sz w:val="32"/>
          <w:szCs w:val="32"/>
          <w:highlight w:val="none"/>
          <w:lang w:val="en-US" w:eastAsia="zh-CN"/>
        </w:rPr>
        <w:t>一.评价结果</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11" w:leftChars="-4" w:right="74" w:rightChars="25"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本次运用由项目评价组设计并经相关部门确认的评价指标体系及评分标准，通过数据采集、问卷调查及访谈，对第五次全国经济普查专项经费项目进行客观评价，最终评分结果为89分，绩效评级为“良”。各部分权重和绩效分值详见表1。</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8" w:leftChars="-3" w:right="74" w:rightChars="25" w:firstLine="10" w:firstLineChars="4"/>
        <w:jc w:val="center"/>
        <w:textAlignment w:val="auto"/>
        <w:rPr>
          <w:rFonts w:hint="eastAsia" w:ascii="仿宋" w:hAnsi="仿宋" w:eastAsia="仿宋" w:cs="仿宋"/>
          <w:b w:val="0"/>
          <w:bCs w:val="0"/>
          <w:spacing w:val="-51"/>
          <w:sz w:val="24"/>
          <w:szCs w:val="24"/>
          <w:highlight w:val="none"/>
          <w:lang w:val="en-US" w:eastAsia="zh-CN"/>
        </w:rPr>
      </w:pPr>
      <w:r>
        <w:rPr>
          <w:rFonts w:hint="eastAsia" w:ascii="仿宋" w:hAnsi="仿宋" w:eastAsia="仿宋" w:cs="仿宋"/>
          <w:b w:val="0"/>
          <w:bCs w:val="0"/>
          <w:spacing w:val="-51"/>
          <w:sz w:val="28"/>
          <w:szCs w:val="28"/>
          <w:highlight w:val="none"/>
          <w:lang w:val="en-US" w:eastAsia="zh-CN"/>
        </w:rPr>
        <w:t>表1：项目绩效评分汇总表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455"/>
        <w:gridCol w:w="1455"/>
        <w:gridCol w:w="1455"/>
        <w:gridCol w:w="1455"/>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指  标</w:t>
            </w:r>
          </w:p>
        </w:tc>
        <w:tc>
          <w:tcPr>
            <w:tcW w:w="8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A决策</w:t>
            </w:r>
          </w:p>
        </w:tc>
        <w:tc>
          <w:tcPr>
            <w:tcW w:w="8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B过程</w:t>
            </w:r>
          </w:p>
        </w:tc>
        <w:tc>
          <w:tcPr>
            <w:tcW w:w="8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C产出</w:t>
            </w:r>
          </w:p>
        </w:tc>
        <w:tc>
          <w:tcPr>
            <w:tcW w:w="80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D效益</w:t>
            </w:r>
          </w:p>
        </w:tc>
        <w:tc>
          <w:tcPr>
            <w:tcW w:w="104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权  重</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20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20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30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30</w:t>
            </w:r>
          </w:p>
        </w:tc>
        <w:tc>
          <w:tcPr>
            <w:tcW w:w="1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得分率</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80%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85%</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100%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86.67%</w:t>
            </w:r>
          </w:p>
        </w:tc>
        <w:tc>
          <w:tcPr>
            <w:tcW w:w="1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得  分</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16</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17</w:t>
            </w:r>
          </w:p>
        </w:tc>
        <w:tc>
          <w:tcPr>
            <w:tcW w:w="1455" w:type="dxa"/>
            <w:vAlign w:val="center"/>
          </w:tcPr>
          <w:p>
            <w:pPr>
              <w:keepNext w:val="0"/>
              <w:keepLines w:val="0"/>
              <w:pageBreakBefore w:val="0"/>
              <w:widowControl w:val="0"/>
              <w:numPr>
                <w:ilvl w:val="0"/>
                <w:numId w:val="0"/>
              </w:numPr>
              <w:tabs>
                <w:tab w:val="left" w:pos="459"/>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ab/>
            </w:r>
            <w:r>
              <w:rPr>
                <w:rFonts w:hint="eastAsia" w:ascii="仿宋" w:hAnsi="仿宋" w:eastAsia="仿宋" w:cs="仿宋"/>
                <w:b w:val="0"/>
                <w:bCs w:val="0"/>
                <w:spacing w:val="0"/>
                <w:sz w:val="28"/>
                <w:szCs w:val="28"/>
                <w:highlight w:val="none"/>
                <w:vertAlign w:val="baseline"/>
                <w:lang w:val="en-US" w:eastAsia="zh-CN"/>
              </w:rPr>
              <w:t>30</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26</w:t>
            </w:r>
          </w:p>
        </w:tc>
        <w:tc>
          <w:tcPr>
            <w:tcW w:w="1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28"/>
                <w:szCs w:val="28"/>
                <w:highlight w:val="none"/>
                <w:vertAlign w:val="baseline"/>
                <w:lang w:val="en-US" w:eastAsia="zh-CN"/>
              </w:rPr>
            </w:pPr>
            <w:r>
              <w:rPr>
                <w:rFonts w:hint="eastAsia" w:ascii="仿宋" w:hAnsi="仿宋" w:eastAsia="仿宋" w:cs="仿宋"/>
                <w:b w:val="0"/>
                <w:bCs w:val="0"/>
                <w:spacing w:val="0"/>
                <w:sz w:val="28"/>
                <w:szCs w:val="28"/>
                <w:highlight w:val="none"/>
                <w:vertAlign w:val="baseline"/>
                <w:lang w:val="en-US" w:eastAsia="zh-CN"/>
              </w:rPr>
              <w:t>89</w:t>
            </w:r>
          </w:p>
        </w:tc>
      </w:tr>
    </w:tbl>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Chars="199" w:right="74" w:rightChars="25"/>
        <w:jc w:val="both"/>
        <w:textAlignment w:val="auto"/>
        <w:rPr>
          <w:rFonts w:hint="eastAsia" w:ascii="仿宋" w:hAnsi="仿宋" w:eastAsia="仿宋" w:cs="仿宋"/>
          <w:b/>
          <w:bCs/>
          <w:spacing w:val="-51"/>
          <w:sz w:val="32"/>
          <w:szCs w:val="32"/>
          <w:highlight w:val="none"/>
          <w:lang w:val="en-US" w:eastAsia="zh-CN"/>
        </w:rPr>
      </w:pPr>
      <w:r>
        <w:rPr>
          <w:rFonts w:hint="eastAsia" w:ascii="黑体" w:hAnsi="黑体" w:eastAsia="黑体" w:cs="黑体"/>
          <w:b w:val="0"/>
          <w:bCs w:val="0"/>
          <w:spacing w:val="-51"/>
          <w:sz w:val="32"/>
          <w:szCs w:val="32"/>
          <w:highlight w:val="none"/>
          <w:lang w:val="en-US" w:eastAsia="zh-CN"/>
        </w:rPr>
        <w:t>二.主要绩效</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成立咸安区第五次全国经济普查领导小组办公室，开展咸安区第五次全国经济普查宣传工作，完成普查培训，顺利开展咸安区第五次全国经济普查单位清查工作。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8" w:firstLineChars="200"/>
        <w:jc w:val="left"/>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51"/>
          <w:kern w:val="2"/>
          <w:sz w:val="32"/>
          <w:szCs w:val="32"/>
          <w:highlight w:val="none"/>
          <w:lang w:val="en-US" w:eastAsia="zh-CN" w:bidi="ar-SA"/>
        </w:rPr>
        <w:t>三、</w:t>
      </w:r>
      <w:r>
        <w:rPr>
          <w:rFonts w:hint="eastAsia" w:ascii="黑体" w:hAnsi="黑体" w:eastAsia="黑体" w:cs="黑体"/>
          <w:b w:val="0"/>
          <w:bCs w:val="0"/>
          <w:spacing w:val="-51"/>
          <w:sz w:val="32"/>
          <w:szCs w:val="32"/>
          <w:lang w:val="en-US" w:eastAsia="zh-CN"/>
        </w:rPr>
        <w:t>主要经验及做法、存在的问题和建议</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755" w:leftChars="235" w:hanging="60" w:hangingChars="20"/>
        <w:jc w:val="both"/>
        <w:textAlignment w:val="auto"/>
        <w:rPr>
          <w:rFonts w:hint="eastAsia" w:ascii="楷体" w:hAnsi="楷体" w:eastAsia="楷体" w:cs="楷体"/>
          <w:b w:val="0"/>
          <w:bCs w:val="0"/>
          <w:spacing w:val="-51"/>
          <w:sz w:val="32"/>
          <w:szCs w:val="32"/>
          <w:highlight w:val="none"/>
          <w:lang w:val="en-US" w:eastAsia="zh-CN"/>
        </w:rPr>
      </w:pPr>
      <w:r>
        <w:rPr>
          <w:rFonts w:hint="eastAsia" w:ascii="楷体" w:hAnsi="楷体" w:eastAsia="楷体" w:cs="楷体"/>
          <w:b w:val="0"/>
          <w:bCs w:val="0"/>
          <w:spacing w:val="-51"/>
          <w:kern w:val="2"/>
          <w:sz w:val="32"/>
          <w:szCs w:val="32"/>
          <w:lang w:val="en-US" w:eastAsia="zh-CN" w:bidi="ar-SA"/>
        </w:rPr>
        <w:t>（一）</w:t>
      </w:r>
      <w:r>
        <w:rPr>
          <w:rFonts w:hint="eastAsia" w:ascii="楷体" w:hAnsi="楷体" w:eastAsia="楷体" w:cs="楷体"/>
          <w:b w:val="0"/>
          <w:bCs w:val="0"/>
          <w:spacing w:val="-51"/>
          <w:sz w:val="32"/>
          <w:szCs w:val="32"/>
          <w:highlight w:val="none"/>
          <w:lang w:val="en-US" w:eastAsia="zh-CN"/>
        </w:rPr>
        <w:t>主要经验及做法</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firstLine="608" w:firstLineChars="200"/>
        <w:jc w:val="both"/>
        <w:textAlignment w:val="auto"/>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咸宁市咸安区及时成立了领导机构和工作专班。区政府批准成立了由常务副区长任组长、6个部门主职领导任副组长、22个部门为成员的区级经济普查领导小组，领导小组办公室设在区统计局。区经普办抽调和聘请10名专业干部，设置综合、业务、数据处理、投入产出等四个工作小组，集中办公。与此同时，全区14个乡镇办场和3个功能区（咸宁高新区、咸安经济开发区、商贸物流区）也先后成立了以行政主职为组长的普查领导小组，并明确了常务负责人和普查专职干部。整个清查流程包括开展“两员”培训、地毯式清查、数据编码与审核以及查漏补缺，并在全过程中开展数据质量控制，保障清查质量。</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755" w:leftChars="235" w:hanging="60" w:hangingChars="20"/>
        <w:jc w:val="both"/>
        <w:textAlignment w:val="auto"/>
        <w:rPr>
          <w:rFonts w:hint="eastAsia" w:ascii="楷体" w:hAnsi="楷体" w:eastAsia="楷体" w:cs="楷体"/>
          <w:b w:val="0"/>
          <w:bCs w:val="0"/>
          <w:spacing w:val="-51"/>
          <w:sz w:val="32"/>
          <w:szCs w:val="32"/>
          <w:highlight w:val="none"/>
          <w:lang w:val="en-US" w:eastAsia="zh-CN"/>
        </w:rPr>
      </w:pPr>
      <w:r>
        <w:rPr>
          <w:rFonts w:hint="eastAsia" w:ascii="楷体" w:hAnsi="楷体" w:eastAsia="楷体" w:cs="楷体"/>
          <w:b w:val="0"/>
          <w:bCs w:val="0"/>
          <w:spacing w:val="-51"/>
          <w:kern w:val="2"/>
          <w:sz w:val="32"/>
          <w:szCs w:val="32"/>
          <w:lang w:val="en-US" w:eastAsia="zh-CN" w:bidi="ar-SA"/>
        </w:rPr>
        <w:t>（二）</w:t>
      </w:r>
      <w:r>
        <w:rPr>
          <w:rFonts w:hint="eastAsia" w:ascii="楷体" w:hAnsi="楷体" w:eastAsia="楷体" w:cs="楷体"/>
          <w:b w:val="0"/>
          <w:bCs w:val="0"/>
          <w:spacing w:val="-51"/>
          <w:sz w:val="32"/>
          <w:szCs w:val="32"/>
          <w:highlight w:val="none"/>
          <w:lang w:val="en-US" w:eastAsia="zh-CN"/>
        </w:rPr>
        <w:t>存在的问题</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1.“两员”素质参差不齐。“两员”选调上，主要以村、社区的网格员为主，很少采用向在社会购买服务的方式解决普查员不足的问题。大部分普查员缺乏必要的会计和统计知识，难以较快熟悉和掌握经济普查的要领，还有少部分人员年龄偏大对新增加的PAD采集设备熟悉程度较慢，对其功能了解不全，在操作录入报表时效率较低。只有少部分人员既熟悉会计统计知识，又能熟练操作PAD。</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2.部门底册质量不高。一是湖北省统计局推送的底册资料地址不十分准确，导致属地划分不精准。二是部分企业搬迁过快，致使部门提供的“详细地址”资料数据与企业实际地址差异较大，单位核查底册无法发挥预想作用。三是无效单位数量较多，部分企业已没有实际经营活动，但未在工商、税务等部门进行注销，部门提供的资料仍包含这些单位，对正常填表核查率有一定影响，四是无固定经营场所单位填表困难，有部分单位注册时暂时借用其他经营场所，过后就“流动”办公，这样的单位在普查中即使普查员历尽艰辛与其联系上，被调查对象也不愿意配合普查填表。</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3.普查对象配合程度不高。尽管单位清查咸安区已经进行了大量的宣传动员，但还是有些单位和个体经营户不予配合，不讲实情，普查难度大。被调查单位由于单位清查表指标多，配合程度相对更低一些。正式普查将填报财务指标，将会给普查员在工作中带来更多困难。</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4.绩效目标设置不够精细。咸安区统计局按上级要求填报了绩效目标申报表，但设置不够精细，绩效指标不够清晰、细化，可衡量性不足，如数量指标、时效指标。</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665" w:firstLineChars="182"/>
        <w:jc w:val="both"/>
        <w:textAlignment w:val="auto"/>
        <w:rPr>
          <w:rFonts w:hint="eastAsia" w:ascii="楷体" w:hAnsi="楷体" w:eastAsia="楷体" w:cs="楷体"/>
          <w:b w:val="0"/>
          <w:bCs w:val="0"/>
          <w:spacing w:val="-51"/>
          <w:sz w:val="32"/>
          <w:szCs w:val="32"/>
          <w:highlight w:val="none"/>
          <w:lang w:val="en-US" w:eastAsia="zh-CN"/>
        </w:rPr>
      </w:pPr>
      <w:r>
        <w:rPr>
          <w:rFonts w:hint="eastAsia" w:ascii="楷体" w:hAnsi="楷体" w:eastAsia="楷体" w:cs="楷体"/>
          <w:b w:val="0"/>
          <w:bCs w:val="0"/>
          <w:spacing w:val="-20"/>
          <w:sz w:val="32"/>
          <w:szCs w:val="32"/>
          <w:highlight w:val="none"/>
          <w:lang w:val="en-US" w:eastAsia="zh-CN"/>
        </w:rPr>
        <w:t>（三）</w:t>
      </w:r>
      <w:r>
        <w:rPr>
          <w:rFonts w:hint="eastAsia" w:ascii="楷体" w:hAnsi="楷体" w:eastAsia="楷体" w:cs="楷体"/>
          <w:b w:val="0"/>
          <w:bCs w:val="0"/>
          <w:spacing w:val="-51"/>
          <w:sz w:val="32"/>
          <w:szCs w:val="32"/>
          <w:highlight w:val="none"/>
          <w:lang w:val="en-US" w:eastAsia="zh-CN"/>
        </w:rPr>
        <w:t>改进措施及建议</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552" w:firstLineChars="182"/>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 xml:space="preserve"> 1.普查员、普查指导员的选聘是搞好第五次经济普查工作的重要基础，必须认真、细致地做好这项工作，尽最大努力选拔复合型人才参与普查工作。首先，选聘的普查员第一要责任心强，工作细致，身体健康。其次，有一定的经济、财务、统计基础知识，能进行基本计算机、手机操作，准确填报普查表。第三，要熟悉普查区情况，善于做思想工作和宣传工作。第四，要建立普查员奖惩措施，增加普查员工作责任心。</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552" w:firstLineChars="182"/>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2.对“流动”的或难以查找到的基本单位由工商、税务等管理力度大的职能部门负责联系，普查机构派普查员对其现场进行普查。部门数据导入比对前，各部门应对其提供的数据进行审核和修正，剔除无效的单位，以提高部门数据利用率和比对率。</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552" w:firstLineChars="182"/>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3.持续加大宣传和统计执法力度。充分利用各种媒体宣传普查的重要性，宣传被调查对象的责任，真正做到人人皆知。对不予配合的单位和个体户在当地媒体予以曝光，对个别被调查对象拒报情节严重的，依照《中华人民共和国统计法》的有关条款，依法进行严肃查处。</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firstLine="608" w:firstLineChars="200"/>
        <w:jc w:val="both"/>
        <w:textAlignment w:val="auto"/>
        <w:rPr>
          <w:rFonts w:hint="eastAsia" w:ascii="仿宋" w:hAnsi="仿宋" w:eastAsia="仿宋" w:cs="仿宋"/>
          <w:b w:val="0"/>
          <w:bCs w:val="0"/>
          <w:spacing w:val="-51"/>
          <w:sz w:val="32"/>
          <w:szCs w:val="32"/>
          <w:highlight w:val="none"/>
          <w:lang w:val="en-US" w:eastAsia="zh-CN"/>
        </w:rPr>
      </w:pPr>
      <w:r>
        <w:rPr>
          <w:rFonts w:hint="eastAsia" w:ascii="仿宋" w:hAnsi="仿宋" w:eastAsia="仿宋" w:cs="仿宋"/>
          <w:b w:val="0"/>
          <w:bCs w:val="0"/>
          <w:spacing w:val="-51"/>
          <w:sz w:val="32"/>
          <w:szCs w:val="32"/>
          <w:highlight w:val="none"/>
          <w:lang w:val="en-US" w:eastAsia="zh-CN"/>
        </w:rPr>
        <w:t>4全面梳理目标编制数量、优化项目绩效目标。从总目标、阶段性目标、数量指标、质量指标、时效指标、成本指标等方面明确项目绩效目标，根据绩效目标设定清晰、细化、可衡量的绩效指标，参照上级要求及历史数据，研究制定出更科学、合理的指标体系，体现正确工作导向，确保评价指标丰富、全面。</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right="74" w:rightChars="25" w:firstLine="588" w:firstLineChars="194"/>
        <w:jc w:val="both"/>
        <w:textAlignment w:val="auto"/>
        <w:rPr>
          <w:rFonts w:hint="eastAsia" w:ascii="仿宋" w:hAnsi="仿宋" w:eastAsia="仿宋" w:cs="仿宋"/>
          <w:b w:val="0"/>
          <w:bCs w:val="0"/>
          <w:spacing w:val="-51"/>
          <w:sz w:val="32"/>
          <w:szCs w:val="32"/>
          <w:highlight w:val="none"/>
          <w:lang w:val="en-US" w:eastAsia="zh-CN"/>
        </w:rPr>
      </w:pPr>
    </w:p>
    <w:p>
      <w:pPr>
        <w:keepNext w:val="0"/>
        <w:keepLines w:val="0"/>
        <w:pageBreakBefore w:val="0"/>
        <w:widowControl w:val="0"/>
        <w:numPr>
          <w:ilvl w:val="0"/>
          <w:numId w:val="0"/>
        </w:numPr>
        <w:tabs>
          <w:tab w:val="left" w:pos="834"/>
        </w:tabs>
        <w:kinsoku/>
        <w:wordWrap/>
        <w:overflowPunct/>
        <w:topLinePunct w:val="0"/>
        <w:autoSpaceDE/>
        <w:autoSpaceDN/>
        <w:bidi w:val="0"/>
        <w:adjustRightInd/>
        <w:snapToGrid/>
        <w:jc w:val="both"/>
        <w:textAlignment w:val="auto"/>
        <w:rPr>
          <w:rFonts w:hint="eastAsia" w:ascii="黑体" w:hAnsi="黑体" w:eastAsia="黑体" w:cs="黑体"/>
          <w:b/>
          <w:bCs/>
          <w:spacing w:val="-51"/>
          <w:sz w:val="32"/>
          <w:szCs w:val="32"/>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AndChars" w:linePitch="634" w:charSpace="177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Autospacing="0"/>
      <w:rPr>
        <w:rFonts w:hint="default"/>
        <w:lang w:val="en-US" w:eastAsia="zh-CN"/>
      </w:rPr>
    </w:pPr>
    <w:r>
      <w:rPr>
        <w:rFonts w:hint="eastAsia"/>
        <w:lang w:val="en-US" w:eastAsia="zh-CN"/>
      </w:rPr>
      <w:t>武汉中瀚合正会计师事务所（普通合伙）                                    主评人：陈汉东15172405711</w:t>
    </w:r>
  </w:p>
  <w:p>
    <w:pPr>
      <w:pStyle w:val="2"/>
      <w:spacing w:beforeAutospacing="0"/>
      <w:rPr>
        <w:rFonts w:hint="default"/>
        <w:lang w:val="en-US" w:eastAsia="zh-CN"/>
      </w:rPr>
    </w:pPr>
    <w:r>
      <w:rPr>
        <w:rFonts w:hint="eastAsia"/>
        <w:lang w:val="en-US" w:eastAsia="zh-CN"/>
      </w:rPr>
      <w:t xml:space="preserve">地址：湖北省武汉市武昌区石牌岭路龙湖天玺10栋701室                     主评人：谭冬梅15802766049                                            </w:t>
    </w:r>
  </w:p>
  <w:p>
    <w:pPr>
      <w:pStyle w:val="2"/>
    </w:pPr>
    <w:r>
      <w:rPr>
        <w:rFonts w:hint="eastAsia"/>
        <w:lang w:val="en-US" w:eastAsia="zh-CN"/>
      </w:rPr>
      <w:t xml:space="preserve">电话：027-87176177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p>
  <w:p>
    <w:pPr>
      <w:pStyle w:val="3"/>
      <w:jc w:val="center"/>
      <w:rPr>
        <w:rFonts w:hint="eastAsia"/>
      </w:rPr>
    </w:pPr>
    <w:r>
      <w:rPr>
        <w:rFonts w:hint="eastAsia"/>
        <w:sz w:val="21"/>
        <w:szCs w:val="21"/>
      </w:rPr>
      <w:t>第五次全国经济普查专项经费项目财政重点绩效评价报告</w:t>
    </w:r>
  </w:p>
  <w:p>
    <w:pPr>
      <w:pStyle w:val="3"/>
      <w:jc w:val="left"/>
      <w:rPr>
        <w:rFonts w:hint="default" w:eastAsiaTheme="minorEastAsia"/>
        <w:u w:val="single"/>
        <w:lang w:val="en-US" w:eastAsia="zh-CN"/>
      </w:rPr>
    </w:pPr>
    <w:r>
      <w:rPr>
        <w:rFonts w:hint="eastAsia"/>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96"/>
  <w:drawingGridVerticalSpacing w:val="317"/>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12EC"/>
    <w:rsid w:val="01411F4B"/>
    <w:rsid w:val="01FD2AF4"/>
    <w:rsid w:val="06E635A4"/>
    <w:rsid w:val="0A0106F5"/>
    <w:rsid w:val="0B3C060D"/>
    <w:rsid w:val="0BAF40BE"/>
    <w:rsid w:val="0C7C4062"/>
    <w:rsid w:val="0CEE6D0E"/>
    <w:rsid w:val="0FD85A54"/>
    <w:rsid w:val="11124F95"/>
    <w:rsid w:val="11877731"/>
    <w:rsid w:val="11E626AA"/>
    <w:rsid w:val="13EA7068"/>
    <w:rsid w:val="17C90AA4"/>
    <w:rsid w:val="1C8E7BC6"/>
    <w:rsid w:val="1CE01671"/>
    <w:rsid w:val="1D04432C"/>
    <w:rsid w:val="1DF148B0"/>
    <w:rsid w:val="1FEF3071"/>
    <w:rsid w:val="22FC459E"/>
    <w:rsid w:val="26C96513"/>
    <w:rsid w:val="26D12FC0"/>
    <w:rsid w:val="275814FC"/>
    <w:rsid w:val="2DA42724"/>
    <w:rsid w:val="2E953036"/>
    <w:rsid w:val="2F9C21A2"/>
    <w:rsid w:val="31655218"/>
    <w:rsid w:val="354E03E2"/>
    <w:rsid w:val="360D3DFA"/>
    <w:rsid w:val="364F7F6E"/>
    <w:rsid w:val="37D526F5"/>
    <w:rsid w:val="395B4AC6"/>
    <w:rsid w:val="3BC44F5A"/>
    <w:rsid w:val="3D7A7FC6"/>
    <w:rsid w:val="3E063608"/>
    <w:rsid w:val="3E2C6DE7"/>
    <w:rsid w:val="403F2DBE"/>
    <w:rsid w:val="40733552"/>
    <w:rsid w:val="41D92254"/>
    <w:rsid w:val="42C50470"/>
    <w:rsid w:val="4354095F"/>
    <w:rsid w:val="4565155C"/>
    <w:rsid w:val="46821C9A"/>
    <w:rsid w:val="46FA3F26"/>
    <w:rsid w:val="476B202E"/>
    <w:rsid w:val="4AF018C8"/>
    <w:rsid w:val="4B257098"/>
    <w:rsid w:val="4B6B6F79"/>
    <w:rsid w:val="4D73058E"/>
    <w:rsid w:val="4DA9344E"/>
    <w:rsid w:val="51C63383"/>
    <w:rsid w:val="52D4018A"/>
    <w:rsid w:val="542C1497"/>
    <w:rsid w:val="54B42BBB"/>
    <w:rsid w:val="56BF4844"/>
    <w:rsid w:val="58E56B11"/>
    <w:rsid w:val="58E94FE1"/>
    <w:rsid w:val="593E00BF"/>
    <w:rsid w:val="597E2795"/>
    <w:rsid w:val="5B01367D"/>
    <w:rsid w:val="5FA97E40"/>
    <w:rsid w:val="63B4318A"/>
    <w:rsid w:val="63BC16C1"/>
    <w:rsid w:val="64E11E3D"/>
    <w:rsid w:val="6598698C"/>
    <w:rsid w:val="65CD2D42"/>
    <w:rsid w:val="66441DFF"/>
    <w:rsid w:val="664D59C9"/>
    <w:rsid w:val="67C24194"/>
    <w:rsid w:val="67E80923"/>
    <w:rsid w:val="69B63885"/>
    <w:rsid w:val="6A366774"/>
    <w:rsid w:val="6E380D0C"/>
    <w:rsid w:val="6E885D0B"/>
    <w:rsid w:val="711E4B3A"/>
    <w:rsid w:val="712E5DE3"/>
    <w:rsid w:val="739A7D73"/>
    <w:rsid w:val="73C13552"/>
    <w:rsid w:val="74E026A0"/>
    <w:rsid w:val="75662603"/>
    <w:rsid w:val="75704DA3"/>
    <w:rsid w:val="76402E54"/>
    <w:rsid w:val="793A5457"/>
    <w:rsid w:val="79E31691"/>
    <w:rsid w:val="7BC324BF"/>
    <w:rsid w:val="7C3C5E6C"/>
    <w:rsid w:val="7D847ACA"/>
    <w:rsid w:val="7EDF7EB1"/>
    <w:rsid w:val="7FA365E6"/>
    <w:rsid w:val="7FF9772E"/>
    <w:rsid w:val="FF7E9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6433</Words>
  <Characters>7932</Characters>
  <Lines>0</Lines>
  <Paragraphs>0</Paragraphs>
  <TotalTime>10</TotalTime>
  <ScaleCrop>false</ScaleCrop>
  <LinksUpToDate>false</LinksUpToDate>
  <CharactersWithSpaces>8585</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2025-06-18T18:06:00Z</dcterms:created>
  <dc:creator>Mayn</dc:creator>
  <cp:lastModifiedBy>guest</cp:lastModifiedBy>
  <cp:lastPrinted>2025-08-12T17:03:00Z</cp:lastPrinted>
  <dcterms:modified xsi:type="dcterms:W3CDTF">2025-12-09T15:31:48Z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KSOTemplateDocerSaveRecord">
    <vt:lpwstr>eyJoZGlkIjoiZTA4NzIyN2MxYTlmMzQ1NGE2MjU5NWRkMjhlOGMxYTAiLCJ1c2VySWQiOiIzMDM0ODY3NzkifQ==</vt:lpwstr>
  </property>
  <property fmtid="{D5CDD505-2E9C-101B-9397-08002B2CF9AE}" pid="4" name="ICV">
    <vt:lpwstr>5340D3B945304C40AE6CDD844748891D_13</vt:lpwstr>
  </property>
</Properties>
</file>