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1" w:line="216" w:lineRule="auto"/>
        <w:jc w:val="center"/>
        <w:outlineLvl w:val="0"/>
        <w:rPr>
          <w:rFonts w:hint="eastAsia" w:ascii="方正小标宋_GBK" w:hAnsi="方正小标宋_GBK" w:eastAsia="方正小标宋_GBK" w:cs="方正小标宋_GBK"/>
          <w:b w:val="0"/>
          <w:bCs w:val="0"/>
          <w:spacing w:val="-1"/>
          <w:sz w:val="36"/>
          <w:szCs w:val="36"/>
          <w:highlight w:val="none"/>
        </w:rPr>
      </w:pPr>
      <w:bookmarkStart w:id="0" w:name="_Toc27267"/>
      <w:bookmarkStart w:id="1" w:name="_Toc29846"/>
      <w:bookmarkStart w:id="2" w:name="_Toc890"/>
      <w:r>
        <w:rPr>
          <w:rFonts w:hint="eastAsia" w:ascii="方正小标宋_GBK" w:hAnsi="方正小标宋_GBK" w:eastAsia="方正小标宋_GBK" w:cs="方正小标宋_GBK"/>
          <w:b w:val="0"/>
          <w:bCs w:val="0"/>
          <w:spacing w:val="-1"/>
          <w:sz w:val="36"/>
          <w:szCs w:val="36"/>
          <w:highlight w:val="none"/>
        </w:rPr>
        <w:t>咸宁市实验小学校园改扩建及体育</w:t>
      </w:r>
      <w:bookmarkEnd w:id="0"/>
      <w:bookmarkEnd w:id="1"/>
      <w:bookmarkEnd w:id="2"/>
      <w:bookmarkStart w:id="3" w:name="_Toc9817"/>
      <w:bookmarkStart w:id="4" w:name="_Toc31118"/>
      <w:bookmarkStart w:id="5" w:name="_Toc3526"/>
      <w:r>
        <w:rPr>
          <w:rFonts w:hint="eastAsia" w:ascii="方正小标宋_GBK" w:hAnsi="方正小标宋_GBK" w:eastAsia="方正小标宋_GBK" w:cs="方正小标宋_GBK"/>
          <w:b w:val="0"/>
          <w:bCs w:val="0"/>
          <w:spacing w:val="-1"/>
          <w:sz w:val="36"/>
          <w:szCs w:val="36"/>
          <w:highlight w:val="none"/>
        </w:rPr>
        <w:t>设施</w:t>
      </w:r>
    </w:p>
    <w:p>
      <w:pPr>
        <w:spacing w:before="311" w:line="216" w:lineRule="auto"/>
        <w:jc w:val="center"/>
        <w:outlineLvl w:val="0"/>
        <w:rPr>
          <w:rFonts w:hint="eastAsia" w:ascii="方正小标宋_GBK" w:hAnsi="方正小标宋_GBK" w:eastAsia="方正小标宋_GBK" w:cs="方正小标宋_GBK"/>
          <w:b w:val="0"/>
          <w:bCs w:val="0"/>
          <w:spacing w:val="-1"/>
          <w:sz w:val="36"/>
          <w:szCs w:val="36"/>
          <w:highlight w:val="none"/>
        </w:rPr>
      </w:pPr>
      <w:r>
        <w:rPr>
          <w:rFonts w:hint="eastAsia" w:ascii="方正小标宋_GBK" w:hAnsi="方正小标宋_GBK" w:eastAsia="方正小标宋_GBK" w:cs="方正小标宋_GBK"/>
          <w:b w:val="0"/>
          <w:bCs w:val="0"/>
          <w:spacing w:val="-1"/>
          <w:sz w:val="36"/>
          <w:szCs w:val="36"/>
          <w:highlight w:val="none"/>
        </w:rPr>
        <w:t>改造项目绩效评价报告</w:t>
      </w:r>
      <w:bookmarkEnd w:id="3"/>
      <w:bookmarkEnd w:id="4"/>
      <w:bookmarkEnd w:id="5"/>
    </w:p>
    <w:p>
      <w:pPr>
        <w:spacing w:before="311" w:line="216" w:lineRule="auto"/>
        <w:jc w:val="center"/>
        <w:outlineLvl w:val="0"/>
        <w:rPr>
          <w:rFonts w:hint="eastAsia" w:ascii="方正小标宋_GBK" w:hAnsi="方正小标宋_GBK" w:eastAsia="方正小标宋_GBK" w:cs="方正小标宋_GBK"/>
          <w:b w:val="0"/>
          <w:bCs w:val="0"/>
          <w:spacing w:val="-1"/>
          <w:sz w:val="36"/>
          <w:szCs w:val="36"/>
          <w:highlight w:val="none"/>
        </w:rPr>
      </w:pPr>
    </w:p>
    <w:p>
      <w:pPr>
        <w:spacing w:before="311" w:line="216" w:lineRule="auto"/>
        <w:jc w:val="center"/>
        <w:outlineLvl w:val="0"/>
        <w:rPr>
          <w:rFonts w:hint="eastAsia" w:ascii="楷体" w:hAnsi="楷体" w:eastAsia="楷体" w:cs="楷体"/>
          <w:b w:val="0"/>
          <w:bCs w:val="0"/>
          <w:spacing w:val="7"/>
          <w:sz w:val="32"/>
          <w:szCs w:val="32"/>
          <w:highlight w:val="none"/>
        </w:rPr>
      </w:pPr>
      <w:r>
        <w:rPr>
          <w:rFonts w:hint="eastAsia" w:ascii="楷体" w:hAnsi="楷体" w:eastAsia="楷体" w:cs="楷体"/>
          <w:b w:val="0"/>
          <w:bCs w:val="0"/>
          <w:spacing w:val="7"/>
          <w:sz w:val="28"/>
          <w:szCs w:val="28"/>
          <w:highlight w:val="none"/>
        </w:rPr>
        <w:t>武中会师审字[2025]第028号</w:t>
      </w:r>
    </w:p>
    <w:p>
      <w:pPr>
        <w:spacing w:before="311" w:line="216" w:lineRule="auto"/>
        <w:jc w:val="center"/>
        <w:outlineLvl w:val="9"/>
        <w:rPr>
          <w:rFonts w:hint="eastAsia" w:ascii="楷体" w:hAnsi="楷体" w:eastAsia="楷体" w:cs="楷体"/>
          <w:b w:val="0"/>
          <w:bCs w:val="0"/>
          <w:spacing w:val="7"/>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1"/>
        <w:rPr>
          <w:rFonts w:hint="eastAsia" w:ascii="楷体" w:hAnsi="楷体" w:eastAsia="楷体" w:cs="楷体"/>
          <w:sz w:val="32"/>
          <w:szCs w:val="32"/>
          <w:highlight w:val="none"/>
        </w:rPr>
      </w:pPr>
      <w:bookmarkStart w:id="6" w:name="_Toc23129"/>
      <w:r>
        <w:rPr>
          <w:rFonts w:hint="eastAsia" w:ascii="楷体" w:hAnsi="楷体" w:eastAsia="楷体" w:cs="楷体"/>
          <w:sz w:val="32"/>
          <w:szCs w:val="32"/>
          <w:highlight w:val="none"/>
        </w:rPr>
        <w:t>评价分数和等级</w:t>
      </w:r>
      <w:bookmarkEnd w:id="6"/>
    </w:p>
    <w:p>
      <w:pPr>
        <w:keepNext w:val="0"/>
        <w:keepLines w:val="0"/>
        <w:pageBreakBefore w:val="0"/>
        <w:widowControl w:val="0"/>
        <w:kinsoku/>
        <w:wordWrap/>
        <w:overflowPunct/>
        <w:topLinePunct w:val="0"/>
        <w:autoSpaceDE/>
        <w:autoSpaceDN/>
        <w:bidi w:val="0"/>
        <w:adjustRightInd/>
        <w:snapToGrid/>
        <w:spacing w:line="560" w:lineRule="exact"/>
        <w:ind w:firstLine="850" w:firstLineChars="200"/>
        <w:jc w:val="both"/>
        <w:textAlignment w:val="auto"/>
        <w:rPr>
          <w:highlight w:val="none"/>
        </w:rPr>
      </w:pPr>
      <w:r>
        <w:rPr>
          <w:rFonts w:hint="eastAsia" w:ascii="仿宋" w:hAnsi="仿宋" w:eastAsia="仿宋" w:cs="仿宋"/>
          <w:color w:val="auto"/>
          <w:sz w:val="32"/>
          <w:szCs w:val="32"/>
          <w:highlight w:val="none"/>
          <w:lang w:val="en-US" w:eastAsia="zh-CN"/>
        </w:rPr>
        <w:t>2024年度，咸宁市实验小学校园改扩建及体育设施改造项目绩效评价得分为90.48分，绩效评价等级为“优”。评价认为，项目通过拆除老教育局办公楼、食堂，在原场地上建设2218平方米的综合运动场所，其上部分加盖钢结构雨棚，面积1534.90平方米，购置相关体育设施设备，配套建设道路、围墙、水电等附属工程及教学楼维修，有效改善了学校学生阳光体育运动场所不足的情况,进一步完善了教学楼基础设施。但在项目实施过程中存在绩效目标设置不科学，管理制度不完善，制度执行有效性、项目施工及时性均有待提高，项目绩效成果运用情况不充分等问题。</w:t>
      </w:r>
      <w:r>
        <w:rPr>
          <w:rFonts w:ascii="仿宋" w:hAnsi="仿宋" w:eastAsia="仿宋" w:cs="仿宋"/>
          <w:color w:val="000000"/>
          <w:kern w:val="0"/>
          <w:sz w:val="31"/>
          <w:szCs w:val="31"/>
          <w:highlight w:val="none"/>
          <w:lang w:val="en-US" w:eastAsia="zh-CN" w:bidi="ar"/>
        </w:rPr>
        <w:t>具体各项评价结论如</w:t>
      </w:r>
      <w:r>
        <w:rPr>
          <w:rFonts w:hint="eastAsia" w:ascii="仿宋" w:hAnsi="仿宋" w:eastAsia="仿宋" w:cs="仿宋"/>
          <w:color w:val="000000"/>
          <w:kern w:val="0"/>
          <w:sz w:val="31"/>
          <w:szCs w:val="31"/>
          <w:highlight w:val="none"/>
          <w:lang w:val="en-US" w:eastAsia="zh-CN" w:bidi="ar"/>
        </w:rPr>
        <w:t>表1所示：</w:t>
      </w:r>
    </w:p>
    <w:p>
      <w:pPr>
        <w:keepNext w:val="0"/>
        <w:keepLines w:val="0"/>
        <w:widowControl/>
        <w:suppressLineNumbers w:val="0"/>
        <w:jc w:val="center"/>
        <w:rPr>
          <w:b/>
          <w:bCs/>
          <w:highlight w:val="none"/>
        </w:rPr>
      </w:pPr>
      <w:r>
        <w:rPr>
          <w:rFonts w:ascii="仿宋" w:hAnsi="仿宋" w:eastAsia="仿宋" w:cs="仿宋"/>
          <w:b/>
          <w:bCs/>
          <w:color w:val="000000"/>
          <w:kern w:val="0"/>
          <w:sz w:val="31"/>
          <w:szCs w:val="31"/>
          <w:highlight w:val="none"/>
          <w:lang w:val="en-US" w:eastAsia="zh-CN" w:bidi="ar"/>
        </w:rPr>
        <w:t>表</w:t>
      </w:r>
      <w:r>
        <w:rPr>
          <w:rFonts w:hint="default" w:ascii="仿宋" w:hAnsi="仿宋" w:eastAsia="仿宋" w:cs="仿宋"/>
          <w:b/>
          <w:bCs/>
          <w:color w:val="000000"/>
          <w:kern w:val="0"/>
          <w:sz w:val="31"/>
          <w:szCs w:val="31"/>
          <w:highlight w:val="none"/>
          <w:lang w:val="en-US" w:eastAsia="zh-CN" w:bidi="ar"/>
        </w:rPr>
        <w:t>1</w:t>
      </w:r>
      <w:r>
        <w:rPr>
          <w:rFonts w:hint="eastAsia" w:ascii="仿宋" w:hAnsi="仿宋" w:eastAsia="仿宋" w:cs="仿宋"/>
          <w:b/>
          <w:bCs/>
          <w:color w:val="000000"/>
          <w:kern w:val="0"/>
          <w:sz w:val="31"/>
          <w:szCs w:val="31"/>
          <w:highlight w:val="none"/>
          <w:lang w:val="en-US" w:eastAsia="zh-CN" w:bidi="ar"/>
        </w:rPr>
        <w:t xml:space="preserve"> 项目绩效评价结论一览表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50" w:type="pct"/>
            <w:tcBorders>
              <w:top w:val="single" w:color="000000" w:themeColor="dark1" w:sz="6" w:space="0"/>
              <w:left w:val="single" w:color="000000" w:themeColor="dark1" w:sz="6" w:space="0"/>
              <w:bottom w:val="single" w:color="000000" w:themeColor="dark1" w:sz="6" w:space="0"/>
              <w:right w:val="single" w:color="999999" w:themeColor="dark1" w:themeTint="66"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评价内容</w:t>
            </w:r>
          </w:p>
        </w:tc>
        <w:tc>
          <w:tcPr>
            <w:tcW w:w="1250" w:type="pct"/>
            <w:tcBorders>
              <w:top w:val="single" w:color="000000" w:themeColor="dark1" w:sz="6" w:space="0"/>
              <w:left w:val="single" w:color="999999" w:themeColor="dark1" w:themeTint="66" w:sz="6" w:space="0"/>
              <w:bottom w:val="single" w:color="000000" w:themeColor="dark1" w:sz="6" w:space="0"/>
              <w:right w:val="single" w:color="999999" w:themeColor="dark1" w:themeTint="66"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分值</w:t>
            </w:r>
          </w:p>
        </w:tc>
        <w:tc>
          <w:tcPr>
            <w:tcW w:w="1250" w:type="pct"/>
            <w:tcBorders>
              <w:top w:val="single" w:color="000000" w:themeColor="dark1" w:sz="6" w:space="0"/>
              <w:left w:val="single" w:color="999999" w:themeColor="dark1" w:themeTint="66" w:sz="6" w:space="0"/>
              <w:bottom w:val="single" w:color="000000" w:themeColor="dark1" w:sz="6" w:space="0"/>
              <w:right w:val="single" w:color="999999" w:themeColor="dark1" w:themeTint="66"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评价得分</w:t>
            </w:r>
          </w:p>
        </w:tc>
        <w:tc>
          <w:tcPr>
            <w:tcW w:w="1250" w:type="pct"/>
            <w:tcBorders>
              <w:top w:val="single" w:color="000000" w:themeColor="dark1" w:sz="6" w:space="0"/>
              <w:left w:val="single" w:color="999999" w:themeColor="dark1" w:themeTint="66" w:sz="6" w:space="0"/>
              <w:bottom w:val="single" w:color="000000" w:themeColor="dark1" w:sz="6" w:space="0"/>
              <w:right w:val="single" w:color="000000" w:themeColor="dark1"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评分率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0" w:type="pct"/>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决策</w:t>
            </w:r>
          </w:p>
        </w:tc>
        <w:tc>
          <w:tcPr>
            <w:tcW w:w="1250" w:type="pc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20</w:t>
            </w:r>
          </w:p>
        </w:tc>
        <w:tc>
          <w:tcPr>
            <w:tcW w:w="1250" w:type="pc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18</w:t>
            </w:r>
          </w:p>
        </w:tc>
        <w:tc>
          <w:tcPr>
            <w:tcW w:w="2265" w:type="dxa"/>
            <w:tcBorders>
              <w:top w:val="single" w:color="000000" w:themeColor="dark1"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lang w:val="en-US" w:eastAsia="zh-CN"/>
              </w:rPr>
            </w:pPr>
            <w:r>
              <w:rPr>
                <w:rFonts w:hint="eastAsia" w:ascii="仿宋" w:hAnsi="仿宋" w:eastAsia="仿宋" w:cs="仿宋"/>
                <w:b w:val="0"/>
                <w:i w:val="0"/>
                <w:iCs w:val="0"/>
                <w:color w:val="000000"/>
                <w:kern w:val="0"/>
                <w:sz w:val="32"/>
                <w:szCs w:val="32"/>
                <w:highlight w:val="none"/>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0"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过程</w:t>
            </w:r>
          </w:p>
        </w:tc>
        <w:tc>
          <w:tcPr>
            <w:tcW w:w="1250"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20</w:t>
            </w:r>
          </w:p>
        </w:tc>
        <w:tc>
          <w:tcPr>
            <w:tcW w:w="1250"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17.48</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rPr>
            </w:pPr>
            <w:r>
              <w:rPr>
                <w:rFonts w:hint="eastAsia" w:ascii="仿宋" w:hAnsi="仿宋" w:eastAsia="仿宋" w:cs="仿宋"/>
                <w:b w:val="0"/>
                <w:i w:val="0"/>
                <w:iCs w:val="0"/>
                <w:color w:val="000000"/>
                <w:kern w:val="0"/>
                <w:sz w:val="32"/>
                <w:szCs w:val="32"/>
                <w:highlight w:val="none"/>
                <w:u w:val="none"/>
                <w:lang w:val="en-US" w:eastAsia="zh-CN" w:bidi="ar"/>
              </w:rPr>
              <w:t>87.40%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0"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产出</w:t>
            </w:r>
          </w:p>
        </w:tc>
        <w:tc>
          <w:tcPr>
            <w:tcW w:w="1250"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30</w:t>
            </w:r>
          </w:p>
        </w:tc>
        <w:tc>
          <w:tcPr>
            <w:tcW w:w="1250"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27</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rPr>
            </w:pPr>
            <w:r>
              <w:rPr>
                <w:rFonts w:hint="eastAsia" w:ascii="仿宋" w:hAnsi="仿宋" w:eastAsia="仿宋" w:cs="仿宋"/>
                <w:b w:val="0"/>
                <w:i w:val="0"/>
                <w:iCs w:val="0"/>
                <w:color w:val="000000"/>
                <w:kern w:val="0"/>
                <w:sz w:val="32"/>
                <w:szCs w:val="32"/>
                <w:highlight w:val="none"/>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0"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效果</w:t>
            </w:r>
          </w:p>
        </w:tc>
        <w:tc>
          <w:tcPr>
            <w:tcW w:w="1250"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30</w:t>
            </w:r>
          </w:p>
        </w:tc>
        <w:tc>
          <w:tcPr>
            <w:tcW w:w="1250"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b w:val="0"/>
                <w:i w:val="0"/>
                <w:color w:val="000000"/>
                <w:sz w:val="32"/>
                <w:szCs w:val="32"/>
                <w:highlight w:val="none"/>
                <w:vertAlign w:val="baseline"/>
                <w:lang w:val="en-US" w:eastAsia="zh-CN"/>
              </w:rPr>
              <w:t>28</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rPr>
            </w:pPr>
            <w:r>
              <w:rPr>
                <w:rFonts w:hint="eastAsia" w:ascii="仿宋" w:hAnsi="仿宋" w:eastAsia="仿宋" w:cs="仿宋"/>
                <w:b w:val="0"/>
                <w:i w:val="0"/>
                <w:iCs w:val="0"/>
                <w:color w:val="000000"/>
                <w:kern w:val="0"/>
                <w:sz w:val="32"/>
                <w:szCs w:val="32"/>
                <w:highlight w:val="none"/>
                <w:u w:val="none"/>
                <w:lang w:val="en-US" w:eastAsia="zh-CN" w:bidi="ar"/>
              </w:rPr>
              <w:t>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0" w:type="pct"/>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i w:val="0"/>
                <w:color w:val="000000"/>
                <w:sz w:val="32"/>
                <w:szCs w:val="32"/>
                <w:highlight w:val="none"/>
                <w:vertAlign w:val="baseline"/>
                <w:lang w:val="en-US" w:eastAsia="zh-CN"/>
              </w:rPr>
            </w:pPr>
            <w:r>
              <w:rPr>
                <w:rFonts w:hint="eastAsia" w:ascii="仿宋" w:hAnsi="仿宋" w:eastAsia="仿宋" w:cs="仿宋"/>
                <w:b/>
                <w:bCs w:val="0"/>
                <w:i w:val="0"/>
                <w:color w:val="000000"/>
                <w:sz w:val="32"/>
                <w:szCs w:val="32"/>
                <w:highlight w:val="none"/>
                <w:vertAlign w:val="baseline"/>
                <w:lang w:val="en-US" w:eastAsia="zh-CN"/>
              </w:rPr>
              <w:t>综合得分</w:t>
            </w:r>
          </w:p>
        </w:tc>
        <w:tc>
          <w:tcPr>
            <w:tcW w:w="1250" w:type="pct"/>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val="0"/>
                <w:i w:val="0"/>
                <w:color w:val="000000"/>
                <w:sz w:val="32"/>
                <w:szCs w:val="32"/>
                <w:highlight w:val="none"/>
                <w:vertAlign w:val="baseline"/>
                <w:lang w:val="en-US" w:eastAsia="zh-CN"/>
              </w:rPr>
            </w:pPr>
            <w:r>
              <w:rPr>
                <w:rFonts w:hint="eastAsia" w:ascii="仿宋" w:hAnsi="仿宋" w:eastAsia="仿宋" w:cs="仿宋"/>
                <w:b/>
                <w:bCs w:val="0"/>
                <w:i w:val="0"/>
                <w:color w:val="000000"/>
                <w:sz w:val="32"/>
                <w:szCs w:val="32"/>
                <w:highlight w:val="none"/>
                <w:vertAlign w:val="baseline"/>
                <w:lang w:val="en-US" w:eastAsia="zh-CN"/>
              </w:rPr>
              <w:t>100</w:t>
            </w:r>
          </w:p>
        </w:tc>
        <w:tc>
          <w:tcPr>
            <w:tcW w:w="1250" w:type="pct"/>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val="0"/>
                <w:i w:val="0"/>
                <w:color w:val="000000"/>
                <w:sz w:val="32"/>
                <w:szCs w:val="32"/>
                <w:highlight w:val="none"/>
                <w:vertAlign w:val="baseline"/>
                <w:lang w:val="en-US" w:eastAsia="zh-CN"/>
              </w:rPr>
            </w:pPr>
            <w:r>
              <w:rPr>
                <w:rFonts w:hint="eastAsia" w:ascii="仿宋" w:hAnsi="仿宋" w:eastAsia="仿宋" w:cs="仿宋"/>
                <w:b/>
                <w:bCs w:val="0"/>
                <w:i w:val="0"/>
                <w:color w:val="000000"/>
                <w:sz w:val="32"/>
                <w:szCs w:val="32"/>
                <w:highlight w:val="none"/>
                <w:vertAlign w:val="baseline"/>
                <w:lang w:val="en-US" w:eastAsia="zh-CN"/>
              </w:rPr>
              <w:t>90.48</w:t>
            </w:r>
          </w:p>
        </w:tc>
        <w:tc>
          <w:tcPr>
            <w:tcW w:w="2265" w:type="dxa"/>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bCs w:val="0"/>
                <w:i w:val="0"/>
                <w:sz w:val="32"/>
                <w:szCs w:val="32"/>
                <w:highlight w:val="none"/>
                <w:vertAlign w:val="baseline"/>
              </w:rPr>
            </w:pPr>
            <w:r>
              <w:rPr>
                <w:rFonts w:hint="eastAsia" w:ascii="仿宋" w:hAnsi="仿宋" w:eastAsia="仿宋" w:cs="仿宋"/>
                <w:b/>
                <w:bCs w:val="0"/>
                <w:i w:val="0"/>
                <w:iCs w:val="0"/>
                <w:color w:val="000000"/>
                <w:kern w:val="0"/>
                <w:sz w:val="32"/>
                <w:szCs w:val="32"/>
                <w:highlight w:val="none"/>
                <w:u w:val="none"/>
                <w:lang w:val="en-US" w:eastAsia="zh-CN" w:bidi="ar"/>
              </w:rPr>
              <w:t>90.48%</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1"/>
        <w:rPr>
          <w:rFonts w:hint="eastAsia" w:ascii="楷体" w:hAnsi="楷体" w:eastAsia="楷体" w:cs="楷体"/>
          <w:sz w:val="32"/>
          <w:szCs w:val="32"/>
          <w:highlight w:val="none"/>
        </w:rPr>
      </w:pPr>
      <w:bookmarkStart w:id="7" w:name="_Toc15984"/>
      <w:r>
        <w:rPr>
          <w:rFonts w:hint="eastAsia" w:ascii="楷体" w:hAnsi="楷体" w:eastAsia="楷体" w:cs="楷体"/>
          <w:sz w:val="32"/>
          <w:szCs w:val="32"/>
          <w:highlight w:val="none"/>
        </w:rPr>
        <w:t>绩效目标完成情况分析</w:t>
      </w:r>
      <w:bookmarkEnd w:id="7"/>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决策。决策指标分值20分，评价得分18分，扣2分。主要扣分方面:项目绩效目标设置不科学，部分绩效指标不具备可考核性或分类错误。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过程。过程指标分值20分，评价得分 17.48分，扣2.52分。主要扣分方面：管理制度不完善，制度执行有效性有待提高。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产出。产出指标分值30分，评价得分27分，扣3分。主要扣分方面：项目施工及时性有效性有待提高。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效果。效果指标分值30分，评价得分28分，扣2分。主要扣分方面：项目绩效成果运用情况不充分。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1"/>
        <w:rPr>
          <w:rFonts w:hint="eastAsia" w:ascii="楷体" w:hAnsi="楷体" w:eastAsia="楷体" w:cs="楷体"/>
          <w:sz w:val="32"/>
          <w:szCs w:val="32"/>
          <w:highlight w:val="none"/>
          <w:lang w:eastAsia="zh-CN"/>
        </w:rPr>
      </w:pPr>
      <w:bookmarkStart w:id="8" w:name="_Toc21965"/>
      <w:r>
        <w:rPr>
          <w:rFonts w:hint="eastAsia" w:ascii="楷体" w:hAnsi="楷体" w:eastAsia="楷体" w:cs="楷体"/>
          <w:sz w:val="32"/>
          <w:szCs w:val="32"/>
          <w:highlight w:val="none"/>
          <w:lang w:val="en-US" w:eastAsia="zh-CN"/>
        </w:rPr>
        <w:t>项目成效、</w:t>
      </w:r>
      <w:r>
        <w:rPr>
          <w:rFonts w:hint="eastAsia" w:ascii="楷体" w:hAnsi="楷体" w:eastAsia="楷体" w:cs="楷体"/>
          <w:sz w:val="32"/>
          <w:szCs w:val="32"/>
          <w:highlight w:val="none"/>
          <w:lang w:eastAsia="zh-CN"/>
        </w:rPr>
        <w:t>存在的问题和原因</w:t>
      </w:r>
      <w:bookmarkEnd w:id="8"/>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370" w:leftChars="0" w:hanging="425" w:firstLineChars="0"/>
        <w:textAlignment w:val="auto"/>
        <w:outlineLvl w:val="2"/>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项目成效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85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的实施推动了义务教育学校办学条件的全面改善及教育质量的持续提高，对基础教育事业的发展具有深远意义。它解决了学生运动场地短缺和学校设施陈旧的问题，为学生素质教育创造了条件，促进学生体质发展，保障学生身心健康。</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370" w:leftChars="0" w:hanging="425" w:firstLineChars="0"/>
        <w:textAlignment w:val="auto"/>
        <w:outlineLvl w:val="2"/>
        <w:rPr>
          <w:rFonts w:hint="default" w:ascii="楷体" w:hAnsi="楷体" w:eastAsia="楷体" w:cs="楷体"/>
          <w:sz w:val="32"/>
          <w:szCs w:val="32"/>
          <w:highlight w:val="none"/>
          <w:lang w:val="en-US" w:eastAsia="zh-CN"/>
        </w:rPr>
      </w:pPr>
      <w:r>
        <w:rPr>
          <w:rFonts w:hint="default" w:ascii="楷体" w:hAnsi="楷体" w:eastAsia="楷体" w:cs="楷体"/>
          <w:sz w:val="32"/>
          <w:szCs w:val="32"/>
          <w:highlight w:val="none"/>
          <w:lang w:val="en-US" w:eastAsia="zh-CN"/>
        </w:rPr>
        <w:t>存在的问题和原因</w:t>
      </w:r>
    </w:p>
    <w:p>
      <w:pPr>
        <w:keepNext w:val="0"/>
        <w:keepLines w:val="0"/>
        <w:pageBreakBefore w:val="0"/>
        <w:widowControl w:val="0"/>
        <w:numPr>
          <w:ilvl w:val="1"/>
          <w:numId w:val="4"/>
        </w:numPr>
        <w:kinsoku/>
        <w:wordWrap/>
        <w:overflowPunct/>
        <w:topLinePunct w:val="0"/>
        <w:autoSpaceDE/>
        <w:autoSpaceDN/>
        <w:bidi w:val="0"/>
        <w:adjustRightInd/>
        <w:snapToGrid/>
        <w:spacing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项目绩效目标管理</w:t>
      </w:r>
      <w:r>
        <w:rPr>
          <w:rFonts w:hint="eastAsia" w:ascii="仿宋" w:hAnsi="仿宋" w:eastAsia="仿宋" w:cs="仿宋"/>
          <w:color w:val="auto"/>
          <w:sz w:val="32"/>
          <w:szCs w:val="32"/>
          <w:highlight w:val="none"/>
          <w:lang w:val="en-US" w:eastAsia="zh-CN"/>
        </w:rPr>
        <w:t>不科学。</w:t>
      </w:r>
      <w:r>
        <w:rPr>
          <w:rFonts w:hint="default" w:ascii="仿宋" w:hAnsi="仿宋" w:eastAsia="仿宋" w:cs="仿宋"/>
          <w:color w:val="auto"/>
          <w:sz w:val="32"/>
          <w:szCs w:val="32"/>
          <w:highlight w:val="none"/>
          <w:lang w:val="en-US" w:eastAsia="zh-CN"/>
        </w:rPr>
        <w:t>项目绩效目标未设置项目的预期产出效益和效果，部分绩效指标不具备可考核性或分类错误，如“产出指标-时效指标-建筑物使用年限内有效使用”；“效益指标-经济效益-解决教学场地不足，不能满足日常教学需求的问题”。</w:t>
      </w:r>
    </w:p>
    <w:p>
      <w:pPr>
        <w:keepNext w:val="0"/>
        <w:keepLines w:val="0"/>
        <w:pageBreakBefore w:val="0"/>
        <w:widowControl w:val="0"/>
        <w:numPr>
          <w:ilvl w:val="1"/>
          <w:numId w:val="4"/>
        </w:numPr>
        <w:kinsoku/>
        <w:wordWrap/>
        <w:overflowPunct/>
        <w:topLinePunct w:val="0"/>
        <w:autoSpaceDE/>
        <w:autoSpaceDN/>
        <w:bidi w:val="0"/>
        <w:adjustRightInd/>
        <w:snapToGrid/>
        <w:spacing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组织实施层面不完善。一是管理制度不健全，项目管理制度中专项工作组未落实到具体人员；二是制度执行有效性有待提高，部分资料存在错误或不完整的情况，如《建筑工程竣工验收报告》中施工单位湖北亿梵建筑有限公司签署的验收日期为2013年9月14日，实际验收日期为2023年9月14日；《预算造价编制报告》中部分关键内容的招标人、造价咨询人未盖公章、《咸宁市实验小学教学楼维修项目报告书》中部分关键内容的招标人未盖公章；支付“校园改扩建及体育设施改造项目档案备案资料整理费”时，少支付0.04元；合同中对于成果提交时间未填写</w:t>
      </w:r>
      <w:r>
        <w:rPr>
          <w:rFonts w:hint="default" w:ascii="仿宋" w:hAnsi="仿宋" w:eastAsia="仿宋" w:cs="仿宋"/>
          <w:color w:val="auto"/>
          <w:sz w:val="32"/>
          <w:szCs w:val="32"/>
          <w:highlight w:val="none"/>
          <w:lang w:val="en-US" w:eastAsia="zh-CN"/>
        </w:rPr>
        <w:t>。</w:t>
      </w:r>
    </w:p>
    <w:p>
      <w:pPr>
        <w:keepNext w:val="0"/>
        <w:keepLines w:val="0"/>
        <w:pageBreakBefore w:val="0"/>
        <w:widowControl w:val="0"/>
        <w:numPr>
          <w:ilvl w:val="1"/>
          <w:numId w:val="4"/>
        </w:numPr>
        <w:kinsoku/>
        <w:wordWrap/>
        <w:overflowPunct/>
        <w:topLinePunct w:val="0"/>
        <w:autoSpaceDE/>
        <w:autoSpaceDN/>
        <w:bidi w:val="0"/>
        <w:adjustRightInd/>
        <w:snapToGrid/>
        <w:spacing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施工及时性有待提高。咸宁市实验小学校园改扩建及体育设施改造项目建设工期为6个月。项目于2023年3月3日开始施工，于2023年9月14日项目最终总体验收，实际完成施工的时间为6个月11日；咸宁市实验小学教学楼维修项目施工工期为30日历天，项目于2024年8月5日开始施工，2024年9月27日完成项目验收，实际完成施工的时间为54日历天，工程未按计划及时完工。</w:t>
      </w:r>
    </w:p>
    <w:p>
      <w:pPr>
        <w:keepNext w:val="0"/>
        <w:keepLines w:val="0"/>
        <w:pageBreakBefore w:val="0"/>
        <w:widowControl w:val="0"/>
        <w:numPr>
          <w:ilvl w:val="1"/>
          <w:numId w:val="4"/>
        </w:numPr>
        <w:kinsoku/>
        <w:wordWrap/>
        <w:overflowPunct/>
        <w:topLinePunct w:val="0"/>
        <w:autoSpaceDE/>
        <w:autoSpaceDN/>
        <w:bidi w:val="0"/>
        <w:adjustRightInd/>
        <w:snapToGrid/>
        <w:spacing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项目绩效成果运用情况不充分。市实验小学</w:t>
      </w:r>
      <w:r>
        <w:rPr>
          <w:rFonts w:hint="default" w:ascii="仿宋" w:hAnsi="仿宋" w:eastAsia="仿宋" w:cs="仿宋"/>
          <w:color w:val="auto"/>
          <w:sz w:val="32"/>
          <w:szCs w:val="32"/>
          <w:highlight w:val="none"/>
          <w:lang w:val="en-US" w:eastAsia="zh-CN"/>
        </w:rPr>
        <w:t>积极响应教育部办公厅发布的《关于进一步加强中小学生体质健康管理工作的通知》，充分保障学生体育课时间，并引入AI体育教学系统嵌入运动场，科学记录学生运动数据。综合运动场不仅解决了场地受限的问题，更</w:t>
      </w:r>
      <w:r>
        <w:rPr>
          <w:rFonts w:hint="eastAsia" w:ascii="仿宋" w:hAnsi="仿宋" w:eastAsia="仿宋" w:cs="仿宋"/>
          <w:color w:val="auto"/>
          <w:sz w:val="32"/>
          <w:szCs w:val="32"/>
          <w:highlight w:val="none"/>
          <w:lang w:val="en-US" w:eastAsia="zh-CN"/>
        </w:rPr>
        <w:t>打破</w:t>
      </w:r>
      <w:r>
        <w:rPr>
          <w:rFonts w:hint="default" w:ascii="仿宋" w:hAnsi="仿宋" w:eastAsia="仿宋" w:cs="仿宋"/>
          <w:color w:val="auto"/>
          <w:sz w:val="32"/>
          <w:szCs w:val="32"/>
          <w:highlight w:val="none"/>
          <w:lang w:val="en-US" w:eastAsia="zh-CN"/>
        </w:rPr>
        <w:t>了下雨天气不能授课及运动的局限。AI体育教学系统聚焦学生体能指标的数据，采用“排行榜”及数据披露的形式，调动学生运动积极性，有利于培养学生运动的习惯，掌握部分运动技能。但针对学生数据的利用</w:t>
      </w:r>
      <w:r>
        <w:rPr>
          <w:rFonts w:hint="eastAsia" w:ascii="仿宋" w:hAnsi="仿宋" w:eastAsia="仿宋" w:cs="仿宋"/>
          <w:color w:val="auto"/>
          <w:sz w:val="32"/>
          <w:szCs w:val="32"/>
          <w:highlight w:val="none"/>
          <w:lang w:val="en-US" w:eastAsia="zh-CN"/>
        </w:rPr>
        <w:t>性</w:t>
      </w:r>
      <w:r>
        <w:rPr>
          <w:rFonts w:hint="default" w:ascii="仿宋" w:hAnsi="仿宋" w:eastAsia="仿宋" w:cs="仿宋"/>
          <w:color w:val="auto"/>
          <w:sz w:val="32"/>
          <w:szCs w:val="32"/>
          <w:highlight w:val="none"/>
          <w:lang w:val="en-US" w:eastAsia="zh-CN"/>
        </w:rPr>
        <w:t>有待提高，未能制定相应的运动方案</w:t>
      </w:r>
      <w:r>
        <w:rPr>
          <w:rFonts w:hint="eastAsia" w:ascii="仿宋" w:hAnsi="仿宋" w:eastAsia="仿宋" w:cs="仿宋"/>
          <w:color w:val="auto"/>
          <w:sz w:val="32"/>
          <w:szCs w:val="32"/>
          <w:highlight w:val="none"/>
          <w:lang w:val="en-US" w:eastAsia="zh-CN"/>
        </w:rPr>
        <w:t>及改善学生身体素质长期计划</w:t>
      </w:r>
      <w:r>
        <w:rPr>
          <w:rFonts w:hint="default" w:ascii="仿宋" w:hAnsi="仿宋" w:eastAsia="仿宋" w:cs="仿宋"/>
          <w:color w:val="auto"/>
          <w:sz w:val="32"/>
          <w:szCs w:val="32"/>
          <w:highlight w:val="none"/>
          <w:lang w:val="en-US" w:eastAsia="zh-CN"/>
        </w:rPr>
        <w:t>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1"/>
        <w:rPr>
          <w:rFonts w:hint="eastAsia" w:ascii="楷体" w:hAnsi="楷体" w:eastAsia="楷体" w:cs="楷体"/>
          <w:sz w:val="32"/>
          <w:szCs w:val="32"/>
          <w:highlight w:val="none"/>
          <w:lang w:val="en-US" w:eastAsia="zh-CN"/>
        </w:rPr>
      </w:pPr>
      <w:bookmarkStart w:id="9" w:name="_Toc17662"/>
      <w:r>
        <w:rPr>
          <w:rFonts w:hint="eastAsia" w:ascii="楷体" w:hAnsi="楷体" w:eastAsia="楷体" w:cs="楷体"/>
          <w:sz w:val="32"/>
          <w:szCs w:val="32"/>
          <w:highlight w:val="none"/>
          <w:lang w:val="en-US" w:eastAsia="zh-CN"/>
        </w:rPr>
        <w:t>改进措施</w:t>
      </w:r>
      <w:bookmarkEnd w:id="9"/>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85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强化项目绩效目标管理</w:t>
      </w:r>
      <w:r>
        <w:rPr>
          <w:rFonts w:hint="eastAsia" w:ascii="仿宋" w:hAnsi="仿宋" w:eastAsia="仿宋" w:cs="仿宋"/>
          <w:sz w:val="32"/>
          <w:szCs w:val="32"/>
          <w:highlight w:val="none"/>
          <w:lang w:val="en-US" w:eastAsia="zh-CN"/>
        </w:rPr>
        <w:t>科学</w:t>
      </w:r>
      <w:r>
        <w:rPr>
          <w:rFonts w:hint="eastAsia" w:ascii="仿宋" w:hAnsi="仿宋" w:eastAsia="仿宋" w:cs="仿宋"/>
          <w:sz w:val="32"/>
          <w:szCs w:val="32"/>
          <w:highlight w:val="none"/>
          <w:lang w:eastAsia="zh-CN"/>
        </w:rPr>
        <w:t>意识，统筹预算绩效</w:t>
      </w:r>
      <w:r>
        <w:rPr>
          <w:rFonts w:hint="eastAsia" w:ascii="仿宋" w:hAnsi="仿宋" w:eastAsia="仿宋" w:cs="仿宋"/>
          <w:sz w:val="32"/>
          <w:szCs w:val="32"/>
          <w:highlight w:val="none"/>
          <w:lang w:val="en-US" w:eastAsia="zh-CN"/>
        </w:rPr>
        <w:t>目标</w:t>
      </w:r>
      <w:r>
        <w:rPr>
          <w:rFonts w:hint="eastAsia" w:ascii="仿宋" w:hAnsi="仿宋" w:eastAsia="仿宋" w:cs="仿宋"/>
          <w:sz w:val="32"/>
          <w:szCs w:val="32"/>
          <w:highlight w:val="none"/>
          <w:lang w:eastAsia="zh-CN"/>
        </w:rPr>
        <w:t>管理。</w:t>
      </w:r>
      <w:r>
        <w:rPr>
          <w:rFonts w:hint="eastAsia" w:ascii="仿宋" w:hAnsi="仿宋" w:eastAsia="仿宋" w:cs="仿宋"/>
          <w:sz w:val="32"/>
          <w:szCs w:val="32"/>
          <w:highlight w:val="none"/>
          <w:lang w:val="en-US" w:eastAsia="zh-CN"/>
        </w:rPr>
        <w:t>一是</w:t>
      </w:r>
      <w:r>
        <w:rPr>
          <w:rFonts w:hint="eastAsia" w:ascii="仿宋" w:hAnsi="仿宋" w:eastAsia="仿宋" w:cs="仿宋"/>
          <w:sz w:val="32"/>
          <w:szCs w:val="32"/>
          <w:highlight w:val="none"/>
          <w:lang w:eastAsia="zh-CN"/>
        </w:rPr>
        <w:t>可通过遵循SMART原则，全面梳理项目预期产出与效益，</w:t>
      </w:r>
      <w:r>
        <w:rPr>
          <w:rFonts w:hint="eastAsia" w:ascii="仿宋" w:hAnsi="仿宋" w:eastAsia="仿宋" w:cs="仿宋"/>
          <w:sz w:val="32"/>
          <w:szCs w:val="32"/>
          <w:highlight w:val="none"/>
          <w:lang w:val="en-US" w:eastAsia="zh-CN"/>
        </w:rPr>
        <w:t>并作为绩效目标内容；设置绩效指标时充分考虑指标的可考核性、相关性，并规范绩效指标分类；二是加强工作人员对于绩效评价相关专业的知识学习，提高业务水平能力。搭建科学的绩效指标体系，</w:t>
      </w:r>
      <w:r>
        <w:rPr>
          <w:rFonts w:hint="eastAsia" w:ascii="仿宋" w:hAnsi="仿宋" w:eastAsia="仿宋" w:cs="仿宋"/>
          <w:sz w:val="32"/>
          <w:szCs w:val="32"/>
          <w:highlight w:val="none"/>
          <w:lang w:eastAsia="zh-CN"/>
        </w:rPr>
        <w:t>从而增强指标的可考核性，确保绩效目标能真实反映项目成效。</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85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善管理制度，设置合同执行跟踪机制。在制度健全方面，制定涵盖人员职责、流程规范、资料管理等内容的详细管理制度，明确专项工作组各成员具体职责，建立岗位责任制，确保责任到人；在制度执行强化上，定期开展人员培训，提升业务能力与责任意识，针对资料管理，设立多级审核机制，要求施工单位、造价咨询人等在相关文件出具时严格按照规范加盖公章，同时建立资料核查台账，对《建筑工程竣工验收报告》等关键资料进行专项复查，及时修正日期错误等问题；对于资金支付与合同管理，完善财务审核流程，杜绝金额差错，在合同拟定阶段明确成果提交时间等关键条款，并设置合同执行跟踪机制，对未履约行为及时预警与处理，以此提升项目组织实施的规范性与有效性。</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850" w:firstLineChars="200"/>
        <w:textAlignment w:val="auto"/>
        <w:rPr>
          <w:rFonts w:ascii="宋体" w:hAnsi="宋体" w:eastAsia="宋体" w:cs="宋体"/>
          <w:kern w:val="0"/>
          <w:sz w:val="24"/>
          <w:szCs w:val="24"/>
          <w:highlight w:val="none"/>
          <w:lang w:val="en-US" w:eastAsia="zh-CN" w:bidi="ar"/>
        </w:rPr>
      </w:pPr>
      <w:r>
        <w:rPr>
          <w:rFonts w:hint="eastAsia" w:ascii="仿宋" w:hAnsi="仿宋" w:eastAsia="仿宋" w:cs="仿宋"/>
          <w:sz w:val="32"/>
          <w:szCs w:val="32"/>
          <w:highlight w:val="none"/>
          <w:lang w:eastAsia="zh-CN"/>
        </w:rPr>
        <w:t>加强项目实施过程管控，确保绩效产出如期实现。一是规范合同管理。建立项目合同管理台账，明确合同签订时间，跟踪合同履约完成进度，加强合同内容管理与过程监督，项目实施过程中根据合同内容变更及时更新相应条款，以便对实施主体进行监督、对实施结果进行验收。减少项目因合同规范性问题而产生的法律风险。二是建立激励与约束机制，强化绩效评价结果在项目申报和预算编制中的有效应用。加强对施工单位日常监督管理，督促建设单位按计划推进工程建设，切实做到项目全流程监管到位，保障项目有序、高效地运行。</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85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落实主体责任，及时</w:t>
      </w:r>
      <w:r>
        <w:rPr>
          <w:rFonts w:hint="eastAsia" w:ascii="仿宋" w:hAnsi="仿宋" w:eastAsia="仿宋" w:cs="仿宋"/>
          <w:sz w:val="32"/>
          <w:szCs w:val="32"/>
          <w:highlight w:val="none"/>
          <w:lang w:val="en-US" w:eastAsia="zh-CN"/>
        </w:rPr>
        <w:t>发挥</w:t>
      </w:r>
      <w:r>
        <w:rPr>
          <w:rFonts w:hint="eastAsia" w:ascii="仿宋" w:hAnsi="仿宋" w:eastAsia="仿宋" w:cs="仿宋"/>
          <w:sz w:val="32"/>
          <w:szCs w:val="32"/>
          <w:highlight w:val="none"/>
          <w:lang w:eastAsia="zh-CN"/>
        </w:rPr>
        <w:t>成效。</w:t>
      </w:r>
      <w:r>
        <w:rPr>
          <w:rFonts w:hint="eastAsia" w:ascii="仿宋" w:hAnsi="仿宋" w:eastAsia="仿宋" w:cs="仿宋"/>
          <w:sz w:val="32"/>
          <w:szCs w:val="32"/>
          <w:highlight w:val="none"/>
          <w:lang w:val="en-US" w:eastAsia="zh-CN"/>
        </w:rPr>
        <w:t>为充分发挥项目绩效成果，可围绕深化学生数据利用、制定科学运动规划展开。建立专业数据分析团队，联合体育教师、健康专家及技术人员，深度挖掘 AI体育教学系统记录的学生运动数据，剖析学生体能短板与运动偏好；基于分析结果，为学生量身定制个性化运动方案，涵盖日常锻炼计划、阶段性提升目标；同时，制定学生身体素质长期改善计划，按学期、学年设定递进式体能提升指标，结合学校课程安排，将计划融入体育教学、课后服务与校园体育活动；此外，定期评估计划实施效果，动态调整运动方案与长期计划，确保学生体能持续提升，真正实现项目绩效成果的有效运用。</w:t>
      </w:r>
    </w:p>
    <w:p>
      <w:pPr>
        <w:keepNext w:val="0"/>
        <w:keepLines w:val="0"/>
        <w:widowControl/>
        <w:suppressLineNumbers w:val="0"/>
        <w:bidi w:val="0"/>
        <w:spacing w:before="0" w:beforeAutospacing="0" w:after="0" w:afterAutospacing="0"/>
        <w:ind w:left="0" w:right="0"/>
        <w:jc w:val="left"/>
        <w:rPr>
          <w:rFonts w:hint="eastAsia" w:ascii="宋体" w:hAnsi="宋体" w:eastAsia="宋体" w:cs="宋体"/>
          <w:kern w:val="0"/>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850" w:firstLineChars="200"/>
        <w:textAlignment w:val="auto"/>
        <w:rPr>
          <w:rFonts w:hint="default" w:ascii="仿宋" w:hAnsi="仿宋" w:eastAsia="仿宋" w:cs="仿宋"/>
          <w:sz w:val="32"/>
          <w:szCs w:val="32"/>
          <w:highlight w:val="none"/>
          <w:lang w:val="en-US" w:eastAsia="zh-CN"/>
        </w:rPr>
      </w:pPr>
      <w:bookmarkStart w:id="10" w:name="_GoBack"/>
      <w:bookmarkEnd w:id="10"/>
    </w:p>
    <w:sectPr>
      <w:headerReference r:id="rId3" w:type="default"/>
      <w:footerReference r:id="rId4" w:type="default"/>
      <w:pgSz w:w="11905" w:h="16838"/>
      <w:pgMar w:top="2098" w:right="1474" w:bottom="1984" w:left="1587" w:header="1417" w:footer="850" w:gutter="0"/>
      <w:pgNumType w:fmt="numberInDash" w:start="1"/>
      <w:cols w:space="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223"/>
      <w:rPr>
        <w:rFonts w:hint="eastAsia" w:ascii="宋体" w:hAnsi="宋体" w:eastAsia="宋体" w:cs="宋体"/>
        <w:sz w:val="18"/>
        <w:szCs w:val="18"/>
      </w:rPr>
    </w:pPr>
    <w:r>
      <w:rPr>
        <w:rFonts w:hint="eastAsia" w:ascii="宋体" w:hAnsi="宋体" w:eastAsia="宋体" w:cs="宋体"/>
        <w:sz w:val="18"/>
        <w:szCs w:val="18"/>
      </w:rPr>
      <w:t>公司名称：武汉中鑫会计师事务有限公司</w:t>
    </w:r>
  </w:p>
  <w:p>
    <w:pPr>
      <w:spacing w:line="233" w:lineRule="auto"/>
      <w:ind w:left="223"/>
      <w:rPr>
        <w:rFonts w:hint="eastAsia" w:ascii="宋体" w:hAnsi="宋体" w:eastAsia="宋体" w:cs="宋体"/>
        <w:sz w:val="18"/>
        <w:szCs w:val="18"/>
      </w:rPr>
    </w:pPr>
    <w:r>
      <w:rPr>
        <w:rFonts w:hint="eastAsia" w:ascii="宋体" w:hAnsi="宋体" w:eastAsia="宋体" w:cs="宋体"/>
        <w:sz w:val="18"/>
        <w:szCs w:val="18"/>
      </w:rPr>
      <w:t>公司地址：武汉东湖新技术开发区光谷大道特1号国际企业中心三期3栋3层07号B065</w:t>
    </w:r>
  </w:p>
  <w:p>
    <w:pPr>
      <w:spacing w:line="233" w:lineRule="auto"/>
      <w:ind w:left="223"/>
      <w:rPr>
        <w:rFonts w:hint="eastAsia" w:ascii="宋体" w:hAnsi="宋体" w:eastAsia="宋体" w:cs="宋体"/>
        <w:sz w:val="18"/>
        <w:szCs w:val="18"/>
      </w:rPr>
    </w:pPr>
    <w:r>
      <w:rPr>
        <w:rFonts w:hint="eastAsia" w:ascii="宋体" w:hAnsi="宋体" w:eastAsia="宋体" w:cs="宋体"/>
        <w:sz w:val="18"/>
        <w:szCs w:val="18"/>
      </w:rPr>
      <w:t>公司电话：13607183568</w:t>
    </w:r>
  </w:p>
  <w:p>
    <w:pPr>
      <w:spacing w:line="233" w:lineRule="auto"/>
      <w:ind w:left="223"/>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2749550</wp:posOffset>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both"/>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5pt;margin-top:2.75pt;height:144pt;width:144pt;mso-position-horizontal-relative:margin;mso-wrap-style:none;z-index:251659264;mso-width-relative:page;mso-height-relative:page;" filled="f" stroked="f" coordsize="21600,21600" o:gfxdata="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KAAAAAACHTuJAAAAAAAAAAAAAAAAABAAAAAAA&#10;AAAAABAAAAAWAAAAZHJzL1BLAQIUABQAAAAIAIdO4kBrhfn7MQIAAGEEAAAOAAAAAAAAAAEAIAAA&#10;ADsBAABkcnMvZTJvRG9jLnhtbFBLAQIUABQAAAAIAIdO4kAYkqNX1gAAAAkBAAAPAAAAAAAAAAEA&#10;IAAAADgAAABkcnMvZG93bnJldi54bWxQSwUGAAAAAAYABgBZAQAA3gUAAAAA&#10;">
              <v:fill on="f" focussize="0,0"/>
              <v:stroke on="f" weight="0.5pt"/>
              <v:imagedata o:title=""/>
              <o:lock v:ext="edit" aspectratio="f"/>
              <v:textbox inset="0mm,0mm,0mm,0mm" style="mso-fit-shape-to-text:t;">
                <w:txbxContent>
                  <w:p>
                    <w:pPr>
                      <w:pStyle w:val="4"/>
                      <w:jc w:val="both"/>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w:rPr>
        <w:rFonts w:hint="eastAsia" w:ascii="宋体" w:hAnsi="宋体" w:eastAsia="宋体" w:cs="宋体"/>
        <w:sz w:val="18"/>
        <w:szCs w:val="18"/>
      </w:rPr>
      <w:t>公司邮箱：</w:t>
    </w:r>
    <w:r>
      <w:rPr>
        <w:rFonts w:hint="eastAsia" w:ascii="宋体" w:hAnsi="宋体" w:eastAsia="宋体" w:cs="宋体"/>
        <w:color w:val="auto"/>
        <w:sz w:val="18"/>
        <w:szCs w:val="18"/>
        <w:u w:val="none"/>
      </w:rPr>
      <w:fldChar w:fldCharType="begin"/>
    </w:r>
    <w:r>
      <w:rPr>
        <w:rFonts w:hint="eastAsia" w:ascii="宋体" w:hAnsi="宋体" w:eastAsia="宋体" w:cs="宋体"/>
        <w:color w:val="auto"/>
        <w:sz w:val="18"/>
        <w:szCs w:val="18"/>
        <w:u w:val="none"/>
      </w:rPr>
      <w:instrText xml:space="preserve"> HYPERLINK "mailto:13607183568@qq.com" </w:instrText>
    </w:r>
    <w:r>
      <w:rPr>
        <w:rFonts w:hint="eastAsia" w:ascii="宋体" w:hAnsi="宋体" w:eastAsia="宋体" w:cs="宋体"/>
        <w:color w:val="auto"/>
        <w:sz w:val="18"/>
        <w:szCs w:val="18"/>
        <w:u w:val="none"/>
      </w:rPr>
      <w:fldChar w:fldCharType="separate"/>
    </w:r>
    <w:r>
      <w:rPr>
        <w:rStyle w:val="11"/>
        <w:rFonts w:hint="eastAsia" w:ascii="宋体" w:hAnsi="宋体" w:eastAsia="宋体" w:cs="宋体"/>
        <w:color w:val="auto"/>
        <w:sz w:val="18"/>
        <w:szCs w:val="18"/>
        <w:u w:val="none"/>
      </w:rPr>
      <w:t>13607183568@qq.com</w:t>
    </w:r>
    <w:r>
      <w:rPr>
        <w:rFonts w:hint="eastAsia" w:ascii="宋体" w:hAnsi="宋体" w:eastAsia="宋体" w:cs="宋体"/>
        <w:color w:val="auto"/>
        <w:sz w:val="18"/>
        <w:szCs w:val="18"/>
        <w:u w:val="none"/>
      </w:rPr>
      <w:fldChar w:fldCharType="end"/>
    </w:r>
  </w:p>
  <w:p>
    <w:pPr>
      <w:spacing w:line="233" w:lineRule="auto"/>
      <w:ind w:left="223"/>
      <w:rPr>
        <w:rFonts w:hint="eastAsia"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0"/>
      </w:pBdr>
      <w:spacing w:before="54" w:line="236" w:lineRule="auto"/>
      <w:jc w:val="center"/>
      <w:rPr>
        <w:rFonts w:hint="eastAsia" w:ascii="仿宋" w:hAnsi="仿宋" w:eastAsia="仿宋" w:cs="仿宋"/>
        <w:sz w:val="24"/>
        <w:szCs w:val="24"/>
        <w:u w:val="none" w:color="auto"/>
      </w:rPr>
    </w:pPr>
    <w:r>
      <w:rPr>
        <w:rFonts w:hint="eastAsia" w:ascii="仿宋" w:hAnsi="仿宋" w:eastAsia="仿宋" w:cs="仿宋"/>
        <w:sz w:val="24"/>
        <w:szCs w:val="24"/>
        <w:highlight w:val="none"/>
        <w:u w:val="none" w:color="auto"/>
      </w:rPr>
      <w:t>咸宁市实验小学校园改扩建及体育设施改造项目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6B376"/>
    <w:multiLevelType w:val="multilevel"/>
    <w:tmpl w:val="B1E6B376"/>
    <w:lvl w:ilvl="0" w:tentative="0">
      <w:start w:val="1"/>
      <w:numFmt w:val="decimal"/>
      <w:suff w:val="nothing"/>
      <w:lvlText w:val="%1."/>
      <w:lvlJc w:val="left"/>
      <w:pPr>
        <w:ind w:left="1055" w:hanging="425"/>
      </w:pPr>
      <w:rPr>
        <w:rFonts w:hint="default"/>
      </w:rPr>
    </w:lvl>
    <w:lvl w:ilvl="1" w:tentative="0">
      <w:start w:val="1"/>
      <w:numFmt w:val="decimal"/>
      <w:suff w:val="nothing"/>
      <w:lvlText w:val="(%2)"/>
      <w:lvlJc w:val="left"/>
      <w:pPr>
        <w:ind w:left="1470" w:leftChars="0" w:hanging="420" w:firstLineChars="0"/>
      </w:pPr>
      <w:rPr>
        <w:rFonts w:hint="default"/>
      </w:rPr>
    </w:lvl>
    <w:lvl w:ilvl="2" w:tentative="0">
      <w:start w:val="1"/>
      <w:numFmt w:val="decimalEnclosedCircleChinese"/>
      <w:lvlText w:val="%3"/>
      <w:lvlJc w:val="left"/>
      <w:pPr>
        <w:tabs>
          <w:tab w:val="left" w:pos="1260"/>
        </w:tabs>
        <w:ind w:left="1890" w:leftChars="0" w:hanging="420" w:firstLineChars="0"/>
      </w:pPr>
      <w:rPr>
        <w:rFonts w:hint="default"/>
      </w:rPr>
    </w:lvl>
    <w:lvl w:ilvl="3" w:tentative="0">
      <w:start w:val="1"/>
      <w:numFmt w:val="decimal"/>
      <w:lvlText w:val="%4)"/>
      <w:lvlJc w:val="left"/>
      <w:pPr>
        <w:tabs>
          <w:tab w:val="left" w:pos="1680"/>
        </w:tabs>
        <w:ind w:left="2310" w:leftChars="0" w:hanging="420" w:firstLineChars="0"/>
      </w:pPr>
      <w:rPr>
        <w:rFonts w:hint="default"/>
      </w:rPr>
    </w:lvl>
    <w:lvl w:ilvl="4" w:tentative="0">
      <w:start w:val="1"/>
      <w:numFmt w:val="lowerLetter"/>
      <w:lvlText w:val="%5."/>
      <w:lvlJc w:val="left"/>
      <w:pPr>
        <w:tabs>
          <w:tab w:val="left" w:pos="2100"/>
        </w:tabs>
        <w:ind w:left="2730" w:leftChars="0" w:hanging="420" w:firstLineChars="0"/>
      </w:pPr>
      <w:rPr>
        <w:rFonts w:hint="default"/>
      </w:rPr>
    </w:lvl>
    <w:lvl w:ilvl="5" w:tentative="0">
      <w:start w:val="1"/>
      <w:numFmt w:val="lowerLetter"/>
      <w:lvlText w:val="%6)"/>
      <w:lvlJc w:val="left"/>
      <w:pPr>
        <w:tabs>
          <w:tab w:val="left" w:pos="2520"/>
        </w:tabs>
        <w:ind w:left="3150" w:leftChars="0" w:hanging="420" w:firstLineChars="0"/>
      </w:pPr>
      <w:rPr>
        <w:rFonts w:hint="default"/>
      </w:rPr>
    </w:lvl>
    <w:lvl w:ilvl="6" w:tentative="0">
      <w:start w:val="1"/>
      <w:numFmt w:val="lowerRoman"/>
      <w:lvlText w:val="%7."/>
      <w:lvlJc w:val="left"/>
      <w:pPr>
        <w:tabs>
          <w:tab w:val="left" w:pos="2940"/>
        </w:tabs>
        <w:ind w:left="3570" w:leftChars="0" w:hanging="420" w:firstLineChars="0"/>
      </w:pPr>
      <w:rPr>
        <w:rFonts w:hint="default"/>
      </w:rPr>
    </w:lvl>
    <w:lvl w:ilvl="7" w:tentative="0">
      <w:start w:val="1"/>
      <w:numFmt w:val="lowerRoman"/>
      <w:lvlText w:val="%8)"/>
      <w:lvlJc w:val="left"/>
      <w:pPr>
        <w:tabs>
          <w:tab w:val="left" w:pos="3360"/>
        </w:tabs>
        <w:ind w:left="3990" w:leftChars="0" w:hanging="420" w:firstLineChars="0"/>
      </w:pPr>
      <w:rPr>
        <w:rFonts w:hint="default"/>
      </w:rPr>
    </w:lvl>
    <w:lvl w:ilvl="8" w:tentative="0">
      <w:start w:val="1"/>
      <w:numFmt w:val="lowerLetter"/>
      <w:lvlText w:val="%9."/>
      <w:lvlJc w:val="left"/>
      <w:pPr>
        <w:tabs>
          <w:tab w:val="left" w:pos="3780"/>
        </w:tabs>
        <w:ind w:left="4410" w:leftChars="0" w:hanging="420" w:firstLineChars="0"/>
      </w:pPr>
      <w:rPr>
        <w:rFonts w:hint="default"/>
      </w:rPr>
    </w:lvl>
  </w:abstractNum>
  <w:abstractNum w:abstractNumId="1">
    <w:nsid w:val="B3664F5E"/>
    <w:multiLevelType w:val="singleLevel"/>
    <w:tmpl w:val="B3664F5E"/>
    <w:lvl w:ilvl="0" w:tentative="0">
      <w:start w:val="1"/>
      <w:numFmt w:val="chineseCounting"/>
      <w:suff w:val="nothing"/>
      <w:lvlText w:val="（%1）"/>
      <w:lvlJc w:val="left"/>
      <w:pPr>
        <w:ind w:left="210" w:firstLine="420"/>
      </w:pPr>
      <w:rPr>
        <w:rFonts w:hint="eastAsia"/>
      </w:rPr>
    </w:lvl>
  </w:abstractNum>
  <w:abstractNum w:abstractNumId="2">
    <w:nsid w:val="2F9B1481"/>
    <w:multiLevelType w:val="singleLevel"/>
    <w:tmpl w:val="2F9B1481"/>
    <w:lvl w:ilvl="0" w:tentative="0">
      <w:start w:val="1"/>
      <w:numFmt w:val="decimal"/>
      <w:suff w:val="nothing"/>
      <w:lvlText w:val="%1."/>
      <w:lvlJc w:val="left"/>
      <w:pPr>
        <w:ind w:left="1370" w:hanging="425"/>
      </w:pPr>
      <w:rPr>
        <w:rFonts w:hint="default"/>
      </w:rPr>
    </w:lvl>
  </w:abstractNum>
  <w:abstractNum w:abstractNumId="3">
    <w:nsid w:val="3C03704E"/>
    <w:multiLevelType w:val="singleLevel"/>
    <w:tmpl w:val="3C03704E"/>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
    <w:nsid w:val="57938E08"/>
    <w:multiLevelType w:val="multilevel"/>
    <w:tmpl w:val="57938E08"/>
    <w:lvl w:ilvl="0" w:tentative="0">
      <w:start w:val="1"/>
      <w:numFmt w:val="decimal"/>
      <w:suff w:val="nothing"/>
      <w:lvlText w:val="%1."/>
      <w:lvlJc w:val="left"/>
      <w:pPr>
        <w:ind w:left="1055" w:hanging="425"/>
      </w:pPr>
      <w:rPr>
        <w:rFonts w:hint="default"/>
      </w:rPr>
    </w:lvl>
    <w:lvl w:ilvl="1" w:tentative="0">
      <w:start w:val="1"/>
      <w:numFmt w:val="decimal"/>
      <w:lvlText w:val="(%2)"/>
      <w:lvlJc w:val="left"/>
      <w:pPr>
        <w:tabs>
          <w:tab w:val="left" w:pos="840"/>
        </w:tabs>
        <w:ind w:left="1470" w:leftChars="0" w:hanging="420" w:firstLineChars="0"/>
      </w:pPr>
      <w:rPr>
        <w:rFonts w:hint="default"/>
      </w:rPr>
    </w:lvl>
    <w:lvl w:ilvl="2" w:tentative="0">
      <w:start w:val="1"/>
      <w:numFmt w:val="decimalEnclosedCircleChinese"/>
      <w:lvlText w:val="%3"/>
      <w:lvlJc w:val="left"/>
      <w:pPr>
        <w:tabs>
          <w:tab w:val="left" w:pos="1260"/>
        </w:tabs>
        <w:ind w:left="1890" w:leftChars="0" w:hanging="420" w:firstLineChars="0"/>
      </w:pPr>
      <w:rPr>
        <w:rFonts w:hint="default"/>
      </w:rPr>
    </w:lvl>
    <w:lvl w:ilvl="3" w:tentative="0">
      <w:start w:val="1"/>
      <w:numFmt w:val="decimal"/>
      <w:lvlText w:val="%4)"/>
      <w:lvlJc w:val="left"/>
      <w:pPr>
        <w:tabs>
          <w:tab w:val="left" w:pos="1680"/>
        </w:tabs>
        <w:ind w:left="2310" w:leftChars="0" w:hanging="420" w:firstLineChars="0"/>
      </w:pPr>
      <w:rPr>
        <w:rFonts w:hint="default"/>
      </w:rPr>
    </w:lvl>
    <w:lvl w:ilvl="4" w:tentative="0">
      <w:start w:val="1"/>
      <w:numFmt w:val="lowerLetter"/>
      <w:lvlText w:val="%5."/>
      <w:lvlJc w:val="left"/>
      <w:pPr>
        <w:tabs>
          <w:tab w:val="left" w:pos="2100"/>
        </w:tabs>
        <w:ind w:left="2730" w:leftChars="0" w:hanging="420" w:firstLineChars="0"/>
      </w:pPr>
      <w:rPr>
        <w:rFonts w:hint="default"/>
      </w:rPr>
    </w:lvl>
    <w:lvl w:ilvl="5" w:tentative="0">
      <w:start w:val="1"/>
      <w:numFmt w:val="lowerLetter"/>
      <w:lvlText w:val="%6)"/>
      <w:lvlJc w:val="left"/>
      <w:pPr>
        <w:tabs>
          <w:tab w:val="left" w:pos="2520"/>
        </w:tabs>
        <w:ind w:left="3150" w:leftChars="0" w:hanging="420" w:firstLineChars="0"/>
      </w:pPr>
      <w:rPr>
        <w:rFonts w:hint="default"/>
      </w:rPr>
    </w:lvl>
    <w:lvl w:ilvl="6" w:tentative="0">
      <w:start w:val="1"/>
      <w:numFmt w:val="lowerRoman"/>
      <w:lvlText w:val="%7."/>
      <w:lvlJc w:val="left"/>
      <w:pPr>
        <w:tabs>
          <w:tab w:val="left" w:pos="2940"/>
        </w:tabs>
        <w:ind w:left="3570" w:leftChars="0" w:hanging="420" w:firstLineChars="0"/>
      </w:pPr>
      <w:rPr>
        <w:rFonts w:hint="default"/>
      </w:rPr>
    </w:lvl>
    <w:lvl w:ilvl="7" w:tentative="0">
      <w:start w:val="1"/>
      <w:numFmt w:val="lowerRoman"/>
      <w:lvlText w:val="%8)"/>
      <w:lvlJc w:val="left"/>
      <w:pPr>
        <w:tabs>
          <w:tab w:val="left" w:pos="3360"/>
        </w:tabs>
        <w:ind w:left="3990" w:leftChars="0" w:hanging="420" w:firstLineChars="0"/>
      </w:pPr>
      <w:rPr>
        <w:rFonts w:hint="default"/>
      </w:rPr>
    </w:lvl>
    <w:lvl w:ilvl="8" w:tentative="0">
      <w:start w:val="1"/>
      <w:numFmt w:val="lowerLetter"/>
      <w:lvlText w:val="%9."/>
      <w:lvlJc w:val="left"/>
      <w:pPr>
        <w:tabs>
          <w:tab w:val="left" w:pos="3780"/>
        </w:tabs>
        <w:ind w:left="4410" w:leftChars="0" w:hanging="420" w:firstLineChars="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690E"/>
    <w:rsid w:val="01F80A87"/>
    <w:rsid w:val="021B57A8"/>
    <w:rsid w:val="028353F8"/>
    <w:rsid w:val="02E64D83"/>
    <w:rsid w:val="05237BC9"/>
    <w:rsid w:val="07DA044F"/>
    <w:rsid w:val="09664528"/>
    <w:rsid w:val="0A1D1865"/>
    <w:rsid w:val="0F024CF3"/>
    <w:rsid w:val="11162CD7"/>
    <w:rsid w:val="14740441"/>
    <w:rsid w:val="19D60B24"/>
    <w:rsid w:val="1C085913"/>
    <w:rsid w:val="1CF33ECD"/>
    <w:rsid w:val="1DAF6046"/>
    <w:rsid w:val="1FAF70C3"/>
    <w:rsid w:val="21817CF9"/>
    <w:rsid w:val="24557781"/>
    <w:rsid w:val="248F1CDE"/>
    <w:rsid w:val="28336289"/>
    <w:rsid w:val="284E7685"/>
    <w:rsid w:val="285D56EE"/>
    <w:rsid w:val="28CD1A76"/>
    <w:rsid w:val="2AE15CAC"/>
    <w:rsid w:val="2B1240B8"/>
    <w:rsid w:val="2B8F2E25"/>
    <w:rsid w:val="2C507136"/>
    <w:rsid w:val="2D564730"/>
    <w:rsid w:val="2ECA3D63"/>
    <w:rsid w:val="2F9E61E6"/>
    <w:rsid w:val="310F3F14"/>
    <w:rsid w:val="31AF2660"/>
    <w:rsid w:val="33BD31B5"/>
    <w:rsid w:val="34645984"/>
    <w:rsid w:val="36A627DE"/>
    <w:rsid w:val="38997BC6"/>
    <w:rsid w:val="38F31085"/>
    <w:rsid w:val="396238C1"/>
    <w:rsid w:val="3CFC7112"/>
    <w:rsid w:val="3DF80EEB"/>
    <w:rsid w:val="3E3B3987"/>
    <w:rsid w:val="3EC21D51"/>
    <w:rsid w:val="41A76EB0"/>
    <w:rsid w:val="41AD023F"/>
    <w:rsid w:val="41E41EB2"/>
    <w:rsid w:val="44134CD1"/>
    <w:rsid w:val="457E43CC"/>
    <w:rsid w:val="46333408"/>
    <w:rsid w:val="47EA1559"/>
    <w:rsid w:val="482D3E87"/>
    <w:rsid w:val="491036D2"/>
    <w:rsid w:val="4A0E4FA8"/>
    <w:rsid w:val="4A590F64"/>
    <w:rsid w:val="4BBF011E"/>
    <w:rsid w:val="4C5E6D05"/>
    <w:rsid w:val="4E5B3558"/>
    <w:rsid w:val="4E791280"/>
    <w:rsid w:val="4FF314C2"/>
    <w:rsid w:val="54CC6949"/>
    <w:rsid w:val="57236B81"/>
    <w:rsid w:val="59103135"/>
    <w:rsid w:val="596671B9"/>
    <w:rsid w:val="5AC271D0"/>
    <w:rsid w:val="5C91458D"/>
    <w:rsid w:val="6014175D"/>
    <w:rsid w:val="623237BE"/>
    <w:rsid w:val="628D3A49"/>
    <w:rsid w:val="62BD68B0"/>
    <w:rsid w:val="641E0DFC"/>
    <w:rsid w:val="658E61D2"/>
    <w:rsid w:val="668041FB"/>
    <w:rsid w:val="6B8368B1"/>
    <w:rsid w:val="736600CA"/>
    <w:rsid w:val="74193BEF"/>
    <w:rsid w:val="74884070"/>
    <w:rsid w:val="74CE7235"/>
    <w:rsid w:val="74D261A4"/>
    <w:rsid w:val="77CE623E"/>
    <w:rsid w:val="78962ECA"/>
    <w:rsid w:val="79EB1ED5"/>
    <w:rsid w:val="7B2C39A7"/>
    <w:rsid w:val="7B726DFD"/>
    <w:rsid w:val="7BB340C8"/>
    <w:rsid w:val="7E3A63DB"/>
    <w:rsid w:val="FFDDE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font01"/>
    <w:basedOn w:val="10"/>
    <w:qFormat/>
    <w:uiPriority w:val="0"/>
    <w:rPr>
      <w:rFonts w:ascii="Wingdings" w:hAnsi="Wingdings" w:cs="Wingding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9140</Words>
  <Characters>9699</Characters>
  <Lines>0</Lines>
  <Paragraphs>0</Paragraphs>
  <TotalTime>31</TotalTime>
  <ScaleCrop>false</ScaleCrop>
  <LinksUpToDate>false</LinksUpToDate>
  <CharactersWithSpaces>9982</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2025-06-05T14:45:00Z</dcterms:created>
  <dc:creator>孙晓艳</dc:creator>
  <cp:lastModifiedBy>guest</cp:lastModifiedBy>
  <dcterms:modified xsi:type="dcterms:W3CDTF">2025-12-09T15:19:02Z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KSOTemplateDocerSaveRecord">
    <vt:lpwstr>eyJoZGlkIjoiOGJiODkwMjAwYzdkNjlhMjdhYjdhN2NlMzg4NmJhYTEiLCJ1c2VySWQiOiI0MjA4Mzk5NjgifQ==</vt:lpwstr>
  </property>
  <property fmtid="{D5CDD505-2E9C-101B-9397-08002B2CF9AE}" pid="4" name="ICV">
    <vt:lpwstr>A341A203B32C49F6AE5581E88CAF7507_13</vt:lpwstr>
  </property>
</Properties>
</file>