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1" w:line="216" w:lineRule="auto"/>
        <w:jc w:val="center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pacing w:val="-1"/>
          <w:sz w:val="36"/>
          <w:szCs w:val="36"/>
          <w:highlight w:val="none"/>
        </w:rPr>
      </w:pPr>
      <w:bookmarkStart w:id="0" w:name="_Toc3526"/>
      <w:r>
        <w:rPr>
          <w:rFonts w:hint="eastAsia" w:ascii="方正小标宋_GBK" w:hAnsi="方正小标宋_GBK" w:eastAsia="方正小标宋_GBK" w:cs="方正小标宋_GBK"/>
          <w:b w:val="0"/>
          <w:bCs w:val="0"/>
          <w:spacing w:val="-1"/>
          <w:sz w:val="36"/>
          <w:szCs w:val="36"/>
          <w:highlight w:val="none"/>
        </w:rPr>
        <w:t>新图书场馆运营经费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"/>
          <w:sz w:val="36"/>
          <w:szCs w:val="36"/>
          <w:highlight w:val="none"/>
          <w:lang w:val="en-US" w:eastAsia="zh-CN"/>
        </w:rPr>
        <w:t>项目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"/>
          <w:sz w:val="36"/>
          <w:szCs w:val="36"/>
          <w:highlight w:val="none"/>
        </w:rPr>
        <w:t>绩效评价报告</w:t>
      </w:r>
      <w:bookmarkEnd w:id="0"/>
    </w:p>
    <w:p>
      <w:pPr>
        <w:spacing w:before="311" w:line="216" w:lineRule="auto"/>
        <w:jc w:val="center"/>
        <w:outlineLvl w:val="9"/>
        <w:rPr>
          <w:rFonts w:hint="eastAsia" w:ascii="楷体" w:hAnsi="楷体" w:eastAsia="楷体" w:cs="楷体"/>
          <w:b w:val="0"/>
          <w:bCs w:val="0"/>
          <w:spacing w:val="7"/>
          <w:sz w:val="28"/>
          <w:szCs w:val="28"/>
          <w:highlight w:val="none"/>
        </w:rPr>
      </w:pPr>
    </w:p>
    <w:p>
      <w:pPr>
        <w:spacing w:before="311" w:line="216" w:lineRule="auto"/>
        <w:jc w:val="center"/>
        <w:outlineLvl w:val="9"/>
        <w:rPr>
          <w:rFonts w:hint="eastAsia" w:ascii="楷体" w:hAnsi="楷体" w:eastAsia="楷体" w:cs="楷体"/>
          <w:b w:val="0"/>
          <w:bCs w:val="0"/>
          <w:spacing w:val="7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 w:val="0"/>
          <w:bCs w:val="0"/>
          <w:spacing w:val="7"/>
          <w:sz w:val="28"/>
          <w:szCs w:val="28"/>
          <w:highlight w:val="none"/>
        </w:rPr>
        <w:t>武中会师审字[2025]第028-001号</w:t>
      </w:r>
    </w:p>
    <w:p>
      <w:pPr>
        <w:spacing w:before="311" w:line="216" w:lineRule="auto"/>
        <w:jc w:val="center"/>
        <w:outlineLvl w:val="9"/>
        <w:rPr>
          <w:rFonts w:hint="eastAsia" w:ascii="楷体" w:hAnsi="楷体" w:eastAsia="楷体" w:cs="楷体"/>
          <w:b w:val="0"/>
          <w:bCs w:val="0"/>
          <w:spacing w:val="7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850" w:firstLineChars="200"/>
        <w:textAlignment w:val="auto"/>
        <w:outlineLvl w:val="1"/>
        <w:rPr>
          <w:rFonts w:hint="eastAsia" w:ascii="楷体" w:hAnsi="楷体" w:eastAsia="楷体" w:cs="楷体"/>
          <w:sz w:val="32"/>
          <w:szCs w:val="32"/>
          <w:highlight w:val="none"/>
        </w:rPr>
      </w:pPr>
      <w:bookmarkStart w:id="1" w:name="_Toc15000"/>
      <w:r>
        <w:rPr>
          <w:rFonts w:hint="eastAsia" w:ascii="楷体" w:hAnsi="楷体" w:eastAsia="楷体" w:cs="楷体"/>
          <w:sz w:val="32"/>
          <w:szCs w:val="32"/>
          <w:highlight w:val="none"/>
        </w:rPr>
        <w:t>评价分数和等级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850" w:firstLineChars="200"/>
        <w:jc w:val="both"/>
        <w:textAlignment w:val="auto"/>
        <w:rPr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2024年新图书场馆运营经费项目绩效评价得分为86.32分，绩效评价等级为“良”。整体来看，项目基本达成了预期运行目标，保障场馆日常开放、文献资源更新维护及设施设备运转，为全区居民打造优质阅读与文化交流空间，还能通过举办阅读推广、文化讲座等活动，提升居民文化素养，营造浓厚文化氛围，助力构建学习型社会；同时，新馆运营可带动周边文化产业、商业发展，吸引人流集聚，激发区域经济活力，成为推动全区文化建设与经济协同发展的重要引擎，增强区域文化软实力与综合竞争力。但项目在绩效管理、资金结构配置、服务内容产出及合同约束执行等方面仍存在明显短板，部分核心绩效指标未完成，服务成本控制与投入产出匹配度较低。尤其在数字资源应用推广、文创开发、第三方服务团队管理等领域，存在“高成本、低产出”现象，绩效管理亟待强化。综合分析各项指标得分情况如下表1所示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highlight w:val="none"/>
          <w:lang w:val="en-US" w:eastAsia="zh-CN" w:bidi="ar"/>
        </w:rPr>
        <w:t>：</w:t>
      </w:r>
    </w:p>
    <w:p>
      <w:pPr>
        <w:keepNext w:val="0"/>
        <w:keepLines w:val="0"/>
        <w:widowControl/>
        <w:suppressLineNumbers w:val="0"/>
        <w:jc w:val="center"/>
        <w:rPr>
          <w:b/>
          <w:bCs/>
          <w:highlight w:val="none"/>
        </w:rPr>
      </w:pPr>
      <w:r>
        <w:rPr>
          <w:rFonts w:ascii="仿宋" w:hAnsi="仿宋" w:eastAsia="仿宋" w:cs="仿宋"/>
          <w:b/>
          <w:bCs/>
          <w:color w:val="000000"/>
          <w:kern w:val="0"/>
          <w:sz w:val="31"/>
          <w:szCs w:val="31"/>
          <w:highlight w:val="none"/>
          <w:lang w:val="en-US" w:eastAsia="zh-CN" w:bidi="ar"/>
        </w:rPr>
        <w:t>表</w:t>
      </w:r>
      <w:r>
        <w:rPr>
          <w:rFonts w:hint="default" w:ascii="仿宋" w:hAnsi="仿宋" w:eastAsia="仿宋" w:cs="仿宋"/>
          <w:b/>
          <w:bCs/>
          <w:color w:val="000000"/>
          <w:kern w:val="0"/>
          <w:sz w:val="31"/>
          <w:szCs w:val="31"/>
          <w:highlight w:val="none"/>
          <w:lang w:val="en-US" w:eastAsia="zh-CN" w:bidi="ar"/>
        </w:rPr>
        <w:t>1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1"/>
          <w:szCs w:val="31"/>
          <w:highlight w:val="none"/>
          <w:lang w:val="en-US" w:eastAsia="zh-CN" w:bidi="ar"/>
        </w:rPr>
        <w:t xml:space="preserve"> 项目绩效评价结论一览表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250" w:type="pct"/>
            <w:tcBorders>
              <w:top w:val="single" w:color="000000" w:themeColor="dark1" w:sz="6" w:space="0"/>
              <w:left w:val="single" w:color="000000" w:themeColor="dark1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000000" w:themeFill="dark1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color w:val="FFFFFF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FFFFFF"/>
                <w:sz w:val="32"/>
                <w:szCs w:val="32"/>
                <w:highlight w:val="none"/>
                <w:vertAlign w:val="baseline"/>
                <w:lang w:val="en-US" w:eastAsia="zh-CN"/>
              </w:rPr>
              <w:t>评价内容</w:t>
            </w:r>
          </w:p>
        </w:tc>
        <w:tc>
          <w:tcPr>
            <w:tcW w:w="1250" w:type="pct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000000" w:themeFill="dark1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color w:val="FFFFFF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FFFFFF"/>
                <w:sz w:val="32"/>
                <w:szCs w:val="32"/>
                <w:highlight w:val="none"/>
                <w:vertAlign w:val="baseline"/>
                <w:lang w:val="en-US" w:eastAsia="zh-CN"/>
              </w:rPr>
              <w:t>分值</w:t>
            </w:r>
          </w:p>
        </w:tc>
        <w:tc>
          <w:tcPr>
            <w:tcW w:w="1250" w:type="pct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000000" w:themeFill="dark1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olor w:val="FFFFFF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FFFFFF"/>
                <w:sz w:val="32"/>
                <w:szCs w:val="32"/>
                <w:highlight w:val="none"/>
                <w:vertAlign w:val="baseline"/>
                <w:lang w:val="en-US" w:eastAsia="zh-CN"/>
              </w:rPr>
              <w:t>评价得分</w:t>
            </w:r>
          </w:p>
        </w:tc>
        <w:tc>
          <w:tcPr>
            <w:tcW w:w="1250" w:type="pct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000000" w:themeColor="dark1" w:sz="6" w:space="0"/>
            </w:tcBorders>
            <w:shd w:val="clear" w:color="auto" w:fill="000000" w:themeFill="dark1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olor w:val="FFFFFF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FFFFFF"/>
                <w:sz w:val="32"/>
                <w:szCs w:val="32"/>
                <w:highlight w:val="none"/>
                <w:vertAlign w:val="baseline"/>
                <w:lang w:val="en-US" w:eastAsia="zh-CN"/>
              </w:rPr>
              <w:t>评分率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  <w:tcBorders>
              <w:top w:val="single" w:color="000000" w:themeColor="dark1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  <w:t>决策</w:t>
            </w:r>
          </w:p>
        </w:tc>
        <w:tc>
          <w:tcPr>
            <w:tcW w:w="2265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top"/>
              <w:rPr>
                <w:rFonts w:hint="default" w:ascii="仿宋" w:hAnsi="仿宋" w:eastAsia="仿宋" w:cs="仿宋"/>
                <w:b w:val="0"/>
                <w:i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265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top"/>
              <w:rPr>
                <w:rFonts w:hint="default" w:ascii="仿宋" w:hAnsi="仿宋" w:eastAsia="仿宋" w:cs="仿宋"/>
                <w:b w:val="0"/>
                <w:i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265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80.00%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  <w:t>过程</w:t>
            </w:r>
          </w:p>
        </w:tc>
        <w:tc>
          <w:tcPr>
            <w:tcW w:w="2265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top"/>
              <w:rPr>
                <w:rFonts w:hint="default" w:ascii="仿宋" w:hAnsi="仿宋" w:eastAsia="仿宋" w:cs="仿宋"/>
                <w:b w:val="0"/>
                <w:i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265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top"/>
              <w:rPr>
                <w:rFonts w:hint="default" w:ascii="仿宋" w:hAnsi="仿宋" w:eastAsia="仿宋" w:cs="仿宋"/>
                <w:b w:val="0"/>
                <w:i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265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95.00%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50" w:type="pct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  <w:t>产出</w:t>
            </w:r>
          </w:p>
        </w:tc>
        <w:tc>
          <w:tcPr>
            <w:tcW w:w="2265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top"/>
              <w:rPr>
                <w:rFonts w:hint="default" w:ascii="仿宋" w:hAnsi="仿宋" w:eastAsia="仿宋" w:cs="仿宋"/>
                <w:b w:val="0"/>
                <w:i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2265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top"/>
              <w:rPr>
                <w:rFonts w:hint="default" w:ascii="仿宋" w:hAnsi="仿宋" w:eastAsia="仿宋" w:cs="仿宋"/>
                <w:b w:val="0"/>
                <w:i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22.32</w:t>
            </w:r>
          </w:p>
        </w:tc>
        <w:tc>
          <w:tcPr>
            <w:tcW w:w="2265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74.40%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  <w:t>效果</w:t>
            </w:r>
          </w:p>
        </w:tc>
        <w:tc>
          <w:tcPr>
            <w:tcW w:w="2265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top"/>
              <w:rPr>
                <w:rFonts w:hint="default" w:ascii="仿宋" w:hAnsi="仿宋" w:eastAsia="仿宋" w:cs="仿宋"/>
                <w:b w:val="0"/>
                <w:i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2265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top"/>
              <w:rPr>
                <w:rFonts w:hint="default" w:ascii="仿宋" w:hAnsi="仿宋" w:eastAsia="仿宋" w:cs="仿宋"/>
                <w:b w:val="0"/>
                <w:i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2265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96.67%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  <w:t>综合得分</w:t>
            </w:r>
          </w:p>
        </w:tc>
        <w:tc>
          <w:tcPr>
            <w:tcW w:w="2265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top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2265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top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86.32</w:t>
            </w:r>
          </w:p>
        </w:tc>
        <w:tc>
          <w:tcPr>
            <w:tcW w:w="2265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86.32%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850" w:firstLineChars="200"/>
        <w:textAlignment w:val="auto"/>
        <w:outlineLvl w:val="1"/>
        <w:rPr>
          <w:rFonts w:hint="eastAsia" w:ascii="楷体" w:hAnsi="楷体" w:eastAsia="楷体" w:cs="楷体"/>
          <w:sz w:val="32"/>
          <w:szCs w:val="32"/>
          <w:highlight w:val="none"/>
        </w:rPr>
      </w:pPr>
      <w:bookmarkStart w:id="2" w:name="_Toc27623"/>
      <w:r>
        <w:rPr>
          <w:rFonts w:hint="eastAsia" w:ascii="楷体" w:hAnsi="楷体" w:eastAsia="楷体" w:cs="楷体"/>
          <w:sz w:val="32"/>
          <w:szCs w:val="32"/>
          <w:highlight w:val="none"/>
        </w:rPr>
        <w:t>绩效目标完成情况分析</w:t>
      </w:r>
      <w:bookmarkEnd w:id="2"/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85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决策。决策指标分值20分，评价得分16分，扣4分。主要扣分方面:绩效目标设置不完整、不科学，未完全遵循SMART原则，目标缺乏可衡量性与时限性，资金分配结构不合理，人员薪酬支出占比达86.50%，严重挤压活动、宣传等核心服务经费空间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85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过程。过程指标分值20分，评价得分19分，扣1分。主要扣分方面：管理制度体系基本建立，但缺乏针对第三方服务团队的专项监督机制，存在执行弱化和制度刚性不足的问题。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85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产出。产出指标分值30分，评价得分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22.32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分，扣7.68分。主要扣分方面:文献外借、未成年人活动、新媒体服务、数字资源下载量及文创开发等关键产出未达成目标，部分指标完成率不足50%，影响项目整体绩效水平。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85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效益。效益指标分值30分，评价得分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29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分，扣1分。主要扣分方面:第三方运营团队部分方面未达到工作考核标准。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850" w:firstLineChars="200"/>
        <w:textAlignment w:val="auto"/>
        <w:outlineLvl w:val="1"/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</w:pPr>
      <w:bookmarkStart w:id="3" w:name="_Toc29105"/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项目成效、</w:t>
      </w: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>存在的问题和原因</w:t>
      </w:r>
      <w:bookmarkEnd w:id="3"/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850" w:firstLineChars="200"/>
        <w:textAlignment w:val="auto"/>
        <w:outlineLvl w:val="2"/>
        <w:rPr>
          <w:rFonts w:hint="default" w:ascii="楷体" w:hAnsi="楷体" w:eastAsia="楷体" w:cs="楷体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项目成效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85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咸安区图书馆新馆通过打造特色品牌活动、创新服务形式、完善资源建设，取得显著成效。特色品牌活动吸引大量读者参与，获得国家级及省级主流媒体宣传报道，极大提升了图书馆的社会影响力；多元服务渠道结合线上线下资源，广泛覆盖不同年龄段人群，办理借阅证超万张，充分满足群众阅读需求。同时，通过《复兴文库》阅读推广等项目深化全民阅读内涵，以《读者心愿清单》精准对接读者诉求，既增强读者粘性，又推动全民阅读氛围的形成，持续提升读者素养，为构建书香社会、提升区域文化软实力发挥了重要作用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850" w:firstLineChars="200"/>
        <w:textAlignment w:val="auto"/>
        <w:outlineLvl w:val="2"/>
        <w:rPr>
          <w:rFonts w:hint="default" w:ascii="楷体" w:hAnsi="楷体" w:eastAsia="楷体" w:cs="楷体"/>
          <w:sz w:val="32"/>
          <w:szCs w:val="32"/>
          <w:highlight w:val="none"/>
          <w:lang w:val="en-US" w:eastAsia="zh-CN"/>
        </w:rPr>
      </w:pPr>
      <w:r>
        <w:rPr>
          <w:rFonts w:hint="default" w:ascii="楷体" w:hAnsi="楷体" w:eastAsia="楷体" w:cs="楷体"/>
          <w:sz w:val="32"/>
          <w:szCs w:val="32"/>
          <w:highlight w:val="none"/>
          <w:lang w:val="en-US" w:eastAsia="zh-CN"/>
        </w:rPr>
        <w:t>存在的问题和原因</w:t>
      </w:r>
    </w:p>
    <w:p>
      <w:pPr>
        <w:keepNext w:val="0"/>
        <w:keepLines w:val="0"/>
        <w:pageBreakBefore w:val="0"/>
        <w:widowControl w:val="0"/>
        <w:numPr>
          <w:ilvl w:val="1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85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绩效目标设置不科学。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未设置项目的预期产出效益和效果，且绩效目标较为简单。绩效目标部分内容未能细化分解为具体的绩效指标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1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85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资金分配不合理。人员薪资占项目总资金86.50%；活动经费占项目总资金0.97%；宣传经费占项目总资金0.70%；办公经费占项目总资金0.73%；税费占项目总资金11.10%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1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85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管理制度不健全。相关制度内容简单且无具体业务审批及手续内容；未设置监管第三方运营团队相关制度，如第三方运营团队开展活动的经费未经过咸安区图书馆审批同意。</w:t>
      </w:r>
    </w:p>
    <w:p>
      <w:pPr>
        <w:keepNext w:val="0"/>
        <w:keepLines w:val="0"/>
        <w:pageBreakBefore w:val="0"/>
        <w:widowControl w:val="0"/>
        <w:numPr>
          <w:ilvl w:val="1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85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产出绩效指标较多未完成。文献外借量未达到年度&gt;10万册次、针对成年人开展的阅读推广活动量未达到年度&gt;80场、数字资源下载量未达到年度数字资源下载量&gt;12000篇次/册次、新媒体服务未实现通过微信公众号新媒体平台提供预约图书馆服务、未成年人服务活动未达到年度&gt;120场、暂未完成设计和开发与图书馆相关文创产品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1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85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咸安区图书馆新馆第三方运营团队部分方面未达到工作考核标准。如第三方运营团队人员配置＜30人，核心管理层工作人员不是均为全日制本科及以上学历。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850" w:firstLineChars="200"/>
        <w:textAlignment w:val="auto"/>
        <w:outlineLvl w:val="1"/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</w:pPr>
      <w:bookmarkStart w:id="4" w:name="_Toc6049"/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改进措施</w:t>
      </w:r>
      <w:bookmarkEnd w:id="4"/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85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强化项目绩效目标管理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科学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意识，统筹预算绩效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目标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管理。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一是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可通过遵循SMART原则，全面梳理项目预期产出与效益，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并作为绩效目标内容；设置绩效指标时充分考虑指标的可考核性、相关性，并规范绩效指标分类；二是加强工作人员对于绩效评价相关专业的知识学习，提高业务水平能力。搭建科学的绩效指标体系，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从而增强指标的可考核性，确保绩效目标能真实反映项目成效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85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一是</w:t>
      </w:r>
      <w:r>
        <w:rPr>
          <w:rFonts w:hint="default" w:ascii="仿宋" w:hAnsi="仿宋" w:eastAsia="仿宋" w:cs="仿宋"/>
          <w:sz w:val="32"/>
          <w:szCs w:val="32"/>
          <w:highlight w:val="none"/>
          <w:lang w:eastAsia="zh-CN"/>
        </w:rPr>
        <w:t>科学核定人员编制与薪资结构，通过岗位效能评估精简冗余岗位，将人员薪资占比逐步下调至60%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～</w:t>
      </w:r>
      <w:r>
        <w:rPr>
          <w:rFonts w:hint="default" w:ascii="仿宋" w:hAnsi="仿宋" w:eastAsia="仿宋" w:cs="仿宋"/>
          <w:sz w:val="32"/>
          <w:szCs w:val="32"/>
          <w:highlight w:val="none"/>
          <w:lang w:eastAsia="zh-CN"/>
        </w:rPr>
        <w:t>70%区间。二是适度提升核心服务经费占比，将活动经费提高至15%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～</w:t>
      </w:r>
      <w:r>
        <w:rPr>
          <w:rFonts w:hint="default" w:ascii="仿宋" w:hAnsi="仿宋" w:eastAsia="仿宋" w:cs="仿宋"/>
          <w:sz w:val="32"/>
          <w:szCs w:val="32"/>
          <w:highlight w:val="none"/>
          <w:lang w:eastAsia="zh-CN"/>
        </w:rPr>
        <w:t>20%，保障阅读推广、读者互动等品牌活动的常态化开展；宣传经费提升至5%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～</w:t>
      </w:r>
      <w:r>
        <w:rPr>
          <w:rFonts w:hint="default" w:ascii="仿宋" w:hAnsi="仿宋" w:eastAsia="仿宋" w:cs="仿宋"/>
          <w:sz w:val="32"/>
          <w:szCs w:val="32"/>
          <w:highlight w:val="none"/>
          <w:lang w:eastAsia="zh-CN"/>
        </w:rPr>
        <w:t>8%，强化线上线下推广渠道建设，扩大服务辐射范围；办公经费补充至3%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～</w:t>
      </w:r>
      <w:r>
        <w:rPr>
          <w:rFonts w:hint="default" w:ascii="仿宋" w:hAnsi="仿宋" w:eastAsia="仿宋" w:cs="仿宋"/>
          <w:sz w:val="32"/>
          <w:szCs w:val="32"/>
          <w:highlight w:val="none"/>
          <w:lang w:eastAsia="zh-CN"/>
        </w:rPr>
        <w:t>5%，满足设备维护、耗材采购等基础运营需求。三是建立动态调整机制，每季度结合服务人次、活动参与度、宣传曝光量等指标评估资金使用效率，确保薪资占比与服务产出相匹配，形成“以效能定分配”的良性循环，提升资金对图书馆核心功能的支撑力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85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一是细化核心业务制度，梳理图书采购、活动组织、经费使用等全流程，制定《业务审批管理细则》，明确各环节审批权限、所需材料及办结时限，例如活动方案需经部门负责人初审、咸安区图书馆复核后备案，经费报销附明细清单及验收凭证；二是建立第三方运营监管体系，出台《第三方合作管理办法》，要求第三方开展活动前提交方案及经费预算，经咸安区图书馆业务部门审核、分管领导审批后方可实施，同步建立活动效果评估机制，每季度核查经费使用合规性；三是强化制度执行监督，成立内控小组，每月抽查业务审批档案，每半年开展第三方合作专项审计，对违规行为明确追责条款，确保制度刚性落地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85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一是提升文献外借与数字资源利用，开展如“图书漂流”“借阅有礼”等活动；制作数字资源使用教程短视频，通过新媒体推送。二是补强活动量缺口，成年人活动结合职场、社科主题设计“职场读书会”“历史文化讲堂”，联合机关单位、企业包场开展，每月至少7场；未成年人活动联动学校、少年宫，增加周末亲子阅读、科普实验等场次，每月达12场以上，年底前补全差额。三是完善新媒体服务，两周内完成微信公众号预约功能开发，对接场馆管理系统，实现座位、活动、设备预约一体化，同步上线操作指引。四是鉴于当前数字资源下载量未达标，针对供应商提出的问题，建议图书馆立即安排技术人员与供应商协作，在一周内完成机房数字资源的外网映射，同时与网络服务提供商沟通，对机房IP进行固定分配，保障资源库稳定可访问；此外，还应通过图书馆官网、公众号等渠道大力宣传数字资源访问方式及优势，开展线上培训讲座，提升用户知晓度与使用技能，从而提高数字资源使用率与下载量。五是启动文创开发，成立专项小组，3个月内完成馆藏IP提炼，设计书签、帆布袋等轻文创，通过活动赠品、线上商城测试推广，年底前完成首批产品落地。建立月度指标跟踪机制，每周调度进度，确保逐项达标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85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一是制定人员配置补足计划，要求第三方运营团队在30日内提交《人员补充方案》，明确岗位缺口（如服务台专员）及招聘时间表，3个月内确保总人数达标30人，期间每周报送到岗进度，图书馆派专人核查劳动合同及考勤记录；二是规范核心管理层资质，出台《核心岗位任职标准》，要求现有未达到全日制本科及以上学历的管理层人员，6个月内通过在职进修、学历提升等方式达标，或更换符合资质的人员，新任职人员需提前提交学历证明供图书馆审核备案；三是修改第三方运营团队考核结果与服务费用支付挂钩（如未达标扣减当月10%～20%服务费），每季度开展资质复核，确保长期符合考核要求，必要时在合同中增设不达标解约条款，强化约束力。</w:t>
      </w:r>
    </w:p>
    <w:p>
      <w:pPr>
        <w:keepNext w:val="0"/>
        <w:keepLines w:val="0"/>
        <w:widowControl/>
        <w:suppressLineNumbers w:val="0"/>
        <w:bidi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850" w:firstLineChars="200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bookmarkStart w:id="5" w:name="_GoBack"/>
      <w:bookmarkEnd w:id="5"/>
    </w:p>
    <w:sectPr>
      <w:headerReference r:id="rId3" w:type="default"/>
      <w:footerReference r:id="rId4" w:type="default"/>
      <w:pgSz w:w="11905" w:h="16838"/>
      <w:pgMar w:top="2098" w:right="1474" w:bottom="1984" w:left="1587" w:header="1417" w:footer="850" w:gutter="0"/>
      <w:pgNumType w:fmt="numberInDash" w:start="1"/>
      <w:cols w:space="0" w:num="1"/>
      <w:rtlGutter w:val="0"/>
      <w:docGrid w:type="linesAndChars" w:linePitch="579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ind w:left="223"/>
      <w:rPr>
        <w:rFonts w:hint="eastAsia" w:ascii="宋体" w:hAnsi="宋体" w:eastAsia="宋体" w:cs="宋体"/>
        <w:sz w:val="18"/>
        <w:szCs w:val="18"/>
      </w:rPr>
    </w:pPr>
    <w:r>
      <w:rPr>
        <w:rFonts w:hint="eastAsia" w:ascii="宋体" w:hAnsi="宋体" w:eastAsia="宋体" w:cs="宋体"/>
        <w:sz w:val="18"/>
        <w:szCs w:val="18"/>
      </w:rPr>
      <w:t>公司名称：武汉中鑫会计师事务有限公司</w:t>
    </w:r>
  </w:p>
  <w:p>
    <w:pPr>
      <w:spacing w:line="233" w:lineRule="auto"/>
      <w:ind w:left="223"/>
      <w:rPr>
        <w:rFonts w:hint="eastAsia" w:ascii="宋体" w:hAnsi="宋体" w:eastAsia="宋体" w:cs="宋体"/>
        <w:sz w:val="18"/>
        <w:szCs w:val="18"/>
      </w:rPr>
    </w:pPr>
    <w:r>
      <w:rPr>
        <w:rFonts w:hint="eastAsia" w:ascii="宋体" w:hAnsi="宋体" w:eastAsia="宋体" w:cs="宋体"/>
        <w:sz w:val="18"/>
        <w:szCs w:val="18"/>
      </w:rPr>
      <w:t>公司地址：武汉东湖新技术开发区光谷大道特1号国际企业中心三期3栋3层07号B065</w:t>
    </w:r>
  </w:p>
  <w:p>
    <w:pPr>
      <w:spacing w:line="233" w:lineRule="auto"/>
      <w:ind w:left="223"/>
      <w:rPr>
        <w:rFonts w:hint="eastAsia" w:ascii="宋体" w:hAnsi="宋体" w:eastAsia="宋体" w:cs="宋体"/>
        <w:sz w:val="18"/>
        <w:szCs w:val="18"/>
      </w:rPr>
    </w:pPr>
    <w:r>
      <w:rPr>
        <w:rFonts w:hint="eastAsia" w:ascii="宋体" w:hAnsi="宋体" w:eastAsia="宋体" w:cs="宋体"/>
        <w:sz w:val="18"/>
        <w:szCs w:val="18"/>
      </w:rPr>
      <w:t>公司电话：13607183568</w:t>
    </w:r>
  </w:p>
  <w:p>
    <w:pPr>
      <w:spacing w:line="233" w:lineRule="auto"/>
      <w:ind w:left="223"/>
      <w:rPr>
        <w:rFonts w:hint="eastAsia" w:ascii="宋体" w:hAnsi="宋体" w:eastAsia="宋体" w:cs="宋体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2548255</wp:posOffset>
              </wp:positionH>
              <wp:positionV relativeFrom="paragraph">
                <wp:posOffset>67945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0.65pt;margin-top:5.35pt;height:144pt;width:144p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eastAsia="宋体" w:cs="宋体"/>
        <w:sz w:val="18"/>
        <w:szCs w:val="18"/>
      </w:rPr>
      <w:t>公司邮箱：</w:t>
    </w:r>
    <w:r>
      <w:rPr>
        <w:rFonts w:hint="eastAsia" w:ascii="宋体" w:hAnsi="宋体" w:eastAsia="宋体" w:cs="宋体"/>
        <w:b w:val="0"/>
        <w:bCs w:val="0"/>
        <w:color w:val="auto"/>
        <w:sz w:val="18"/>
        <w:szCs w:val="18"/>
        <w:u w:val="none"/>
      </w:rPr>
      <w:fldChar w:fldCharType="begin"/>
    </w:r>
    <w:r>
      <w:rPr>
        <w:rFonts w:hint="eastAsia" w:ascii="宋体" w:hAnsi="宋体" w:eastAsia="宋体" w:cs="宋体"/>
        <w:b w:val="0"/>
        <w:bCs w:val="0"/>
        <w:color w:val="auto"/>
        <w:sz w:val="18"/>
        <w:szCs w:val="18"/>
        <w:u w:val="none"/>
      </w:rPr>
      <w:instrText xml:space="preserve"> HYPERLINK "mailto:13607183568@qq.com" </w:instrText>
    </w:r>
    <w:r>
      <w:rPr>
        <w:rFonts w:hint="eastAsia" w:ascii="宋体" w:hAnsi="宋体" w:eastAsia="宋体" w:cs="宋体"/>
        <w:b w:val="0"/>
        <w:bCs w:val="0"/>
        <w:color w:val="auto"/>
        <w:sz w:val="18"/>
        <w:szCs w:val="18"/>
        <w:u w:val="none"/>
      </w:rPr>
      <w:fldChar w:fldCharType="separate"/>
    </w:r>
    <w:r>
      <w:rPr>
        <w:rStyle w:val="14"/>
        <w:rFonts w:hint="eastAsia" w:ascii="宋体" w:hAnsi="宋体" w:eastAsia="宋体" w:cs="宋体"/>
        <w:b w:val="0"/>
        <w:bCs w:val="0"/>
        <w:color w:val="auto"/>
        <w:sz w:val="18"/>
        <w:szCs w:val="18"/>
        <w:u w:val="none"/>
      </w:rPr>
      <w:t>13607183568@qq.com</w:t>
    </w:r>
    <w:r>
      <w:rPr>
        <w:rFonts w:hint="eastAsia" w:ascii="宋体" w:hAnsi="宋体" w:eastAsia="宋体" w:cs="宋体"/>
        <w:b w:val="0"/>
        <w:bCs w:val="0"/>
        <w:color w:val="auto"/>
        <w:sz w:val="18"/>
        <w:szCs w:val="18"/>
        <w:u w:val="none"/>
      </w:rPr>
      <w:fldChar w:fldCharType="end"/>
    </w:r>
  </w:p>
  <w:p>
    <w:pPr>
      <w:spacing w:line="233" w:lineRule="auto"/>
      <w:ind w:left="223"/>
      <w:rPr>
        <w:rFonts w:ascii="宋体" w:hAnsi="宋体" w:eastAsia="宋体" w:cs="宋体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single" w:color="auto" w:sz="4" w:space="1"/>
      </w:pBdr>
      <w:jc w:val="center"/>
      <w:rPr>
        <w:rFonts w:hint="eastAsia" w:ascii="仿宋" w:hAnsi="仿宋" w:eastAsia="仿宋" w:cs="仿宋"/>
        <w:sz w:val="24"/>
        <w:szCs w:val="24"/>
        <w:u w:val="none" w:color="auto"/>
      </w:rPr>
    </w:pPr>
    <w:r>
      <w:rPr>
        <w:rFonts w:hint="eastAsia" w:ascii="仿宋" w:hAnsi="仿宋" w:eastAsia="仿宋" w:cs="仿宋"/>
        <w:sz w:val="24"/>
        <w:szCs w:val="24"/>
        <w:highlight w:val="none"/>
        <w:u w:val="none" w:color="auto"/>
      </w:rPr>
      <w:t>新</w:t>
    </w:r>
    <w:r>
      <w:rPr>
        <w:rFonts w:hint="eastAsia" w:ascii="仿宋" w:hAnsi="仿宋" w:eastAsia="仿宋" w:cs="仿宋"/>
        <w:sz w:val="24"/>
        <w:szCs w:val="24"/>
        <w:highlight w:val="none"/>
        <w:u w:val="none" w:color="auto"/>
        <w:lang w:val="en-US" w:eastAsia="zh-CN"/>
      </w:rPr>
      <w:t xml:space="preserve"> </w:t>
    </w:r>
    <w:r>
      <w:rPr>
        <w:rFonts w:hint="eastAsia" w:ascii="仿宋" w:hAnsi="仿宋" w:eastAsia="仿宋" w:cs="仿宋"/>
        <w:sz w:val="24"/>
        <w:szCs w:val="24"/>
        <w:highlight w:val="none"/>
        <w:u w:val="none" w:color="auto"/>
      </w:rPr>
      <w:t>图</w:t>
    </w:r>
    <w:r>
      <w:rPr>
        <w:rFonts w:hint="eastAsia" w:ascii="仿宋" w:hAnsi="仿宋" w:eastAsia="仿宋" w:cs="仿宋"/>
        <w:sz w:val="24"/>
        <w:szCs w:val="24"/>
        <w:highlight w:val="none"/>
        <w:u w:val="none" w:color="auto"/>
        <w:lang w:val="en-US" w:eastAsia="zh-CN"/>
      </w:rPr>
      <w:t xml:space="preserve"> </w:t>
    </w:r>
    <w:r>
      <w:rPr>
        <w:rFonts w:hint="eastAsia" w:ascii="仿宋" w:hAnsi="仿宋" w:eastAsia="仿宋" w:cs="仿宋"/>
        <w:sz w:val="24"/>
        <w:szCs w:val="24"/>
        <w:highlight w:val="none"/>
        <w:u w:val="none" w:color="auto"/>
      </w:rPr>
      <w:t>书</w:t>
    </w:r>
    <w:r>
      <w:rPr>
        <w:rFonts w:hint="eastAsia" w:ascii="仿宋" w:hAnsi="仿宋" w:eastAsia="仿宋" w:cs="仿宋"/>
        <w:sz w:val="24"/>
        <w:szCs w:val="24"/>
        <w:highlight w:val="none"/>
        <w:u w:val="none" w:color="auto"/>
        <w:lang w:val="en-US" w:eastAsia="zh-CN"/>
      </w:rPr>
      <w:t xml:space="preserve"> </w:t>
    </w:r>
    <w:r>
      <w:rPr>
        <w:rFonts w:hint="eastAsia" w:ascii="仿宋" w:hAnsi="仿宋" w:eastAsia="仿宋" w:cs="仿宋"/>
        <w:sz w:val="24"/>
        <w:szCs w:val="24"/>
        <w:highlight w:val="none"/>
        <w:u w:val="none" w:color="auto"/>
      </w:rPr>
      <w:t>场</w:t>
    </w:r>
    <w:r>
      <w:rPr>
        <w:rFonts w:hint="eastAsia" w:ascii="仿宋" w:hAnsi="仿宋" w:eastAsia="仿宋" w:cs="仿宋"/>
        <w:sz w:val="24"/>
        <w:szCs w:val="24"/>
        <w:highlight w:val="none"/>
        <w:u w:val="none" w:color="auto"/>
        <w:lang w:val="en-US" w:eastAsia="zh-CN"/>
      </w:rPr>
      <w:t xml:space="preserve"> </w:t>
    </w:r>
    <w:r>
      <w:rPr>
        <w:rFonts w:hint="eastAsia" w:ascii="仿宋" w:hAnsi="仿宋" w:eastAsia="仿宋" w:cs="仿宋"/>
        <w:sz w:val="24"/>
        <w:szCs w:val="24"/>
        <w:highlight w:val="none"/>
        <w:u w:val="none" w:color="auto"/>
      </w:rPr>
      <w:t>馆</w:t>
    </w:r>
    <w:r>
      <w:rPr>
        <w:rFonts w:hint="eastAsia" w:ascii="仿宋" w:hAnsi="仿宋" w:eastAsia="仿宋" w:cs="仿宋"/>
        <w:sz w:val="24"/>
        <w:szCs w:val="24"/>
        <w:highlight w:val="none"/>
        <w:u w:val="none" w:color="auto"/>
        <w:lang w:val="en-US" w:eastAsia="zh-CN"/>
      </w:rPr>
      <w:t xml:space="preserve"> </w:t>
    </w:r>
    <w:r>
      <w:rPr>
        <w:rFonts w:hint="eastAsia" w:ascii="仿宋" w:hAnsi="仿宋" w:eastAsia="仿宋" w:cs="仿宋"/>
        <w:sz w:val="24"/>
        <w:szCs w:val="24"/>
        <w:highlight w:val="none"/>
        <w:u w:val="none" w:color="auto"/>
      </w:rPr>
      <w:t>运</w:t>
    </w:r>
    <w:r>
      <w:rPr>
        <w:rFonts w:hint="eastAsia" w:ascii="仿宋" w:hAnsi="仿宋" w:eastAsia="仿宋" w:cs="仿宋"/>
        <w:sz w:val="24"/>
        <w:szCs w:val="24"/>
        <w:highlight w:val="none"/>
        <w:u w:val="none" w:color="auto"/>
        <w:lang w:val="en-US" w:eastAsia="zh-CN"/>
      </w:rPr>
      <w:t xml:space="preserve"> </w:t>
    </w:r>
    <w:r>
      <w:rPr>
        <w:rFonts w:hint="eastAsia" w:ascii="仿宋" w:hAnsi="仿宋" w:eastAsia="仿宋" w:cs="仿宋"/>
        <w:sz w:val="24"/>
        <w:szCs w:val="24"/>
        <w:highlight w:val="none"/>
        <w:u w:val="none" w:color="auto"/>
      </w:rPr>
      <w:t>营</w:t>
    </w:r>
    <w:r>
      <w:rPr>
        <w:rFonts w:hint="eastAsia" w:ascii="仿宋" w:hAnsi="仿宋" w:eastAsia="仿宋" w:cs="仿宋"/>
        <w:sz w:val="24"/>
        <w:szCs w:val="24"/>
        <w:highlight w:val="none"/>
        <w:u w:val="none" w:color="auto"/>
        <w:lang w:val="en-US" w:eastAsia="zh-CN"/>
      </w:rPr>
      <w:t xml:space="preserve"> </w:t>
    </w:r>
    <w:r>
      <w:rPr>
        <w:rFonts w:hint="eastAsia" w:ascii="仿宋" w:hAnsi="仿宋" w:eastAsia="仿宋" w:cs="仿宋"/>
        <w:sz w:val="24"/>
        <w:szCs w:val="24"/>
        <w:highlight w:val="none"/>
        <w:u w:val="none" w:color="auto"/>
      </w:rPr>
      <w:t>经</w:t>
    </w:r>
    <w:r>
      <w:rPr>
        <w:rFonts w:hint="eastAsia" w:ascii="仿宋" w:hAnsi="仿宋" w:eastAsia="仿宋" w:cs="仿宋"/>
        <w:sz w:val="24"/>
        <w:szCs w:val="24"/>
        <w:highlight w:val="none"/>
        <w:u w:val="none" w:color="auto"/>
        <w:lang w:val="en-US" w:eastAsia="zh-CN"/>
      </w:rPr>
      <w:t xml:space="preserve"> </w:t>
    </w:r>
    <w:r>
      <w:rPr>
        <w:rFonts w:hint="eastAsia" w:ascii="仿宋" w:hAnsi="仿宋" w:eastAsia="仿宋" w:cs="仿宋"/>
        <w:sz w:val="24"/>
        <w:szCs w:val="24"/>
        <w:highlight w:val="none"/>
        <w:u w:val="none" w:color="auto"/>
      </w:rPr>
      <w:t>费</w:t>
    </w:r>
    <w:r>
      <w:rPr>
        <w:rFonts w:hint="eastAsia" w:ascii="仿宋" w:hAnsi="仿宋" w:eastAsia="仿宋" w:cs="仿宋"/>
        <w:sz w:val="24"/>
        <w:szCs w:val="24"/>
        <w:highlight w:val="none"/>
        <w:u w:val="none" w:color="auto"/>
        <w:lang w:val="en-US" w:eastAsia="zh-CN"/>
      </w:rPr>
      <w:t xml:space="preserve"> </w:t>
    </w:r>
    <w:r>
      <w:rPr>
        <w:rFonts w:hint="eastAsia" w:ascii="仿宋" w:hAnsi="仿宋" w:eastAsia="仿宋" w:cs="仿宋"/>
        <w:sz w:val="24"/>
        <w:szCs w:val="24"/>
        <w:highlight w:val="none"/>
        <w:u w:val="none" w:color="auto"/>
      </w:rPr>
      <w:t>项</w:t>
    </w:r>
    <w:r>
      <w:rPr>
        <w:rFonts w:hint="eastAsia" w:ascii="仿宋" w:hAnsi="仿宋" w:eastAsia="仿宋" w:cs="仿宋"/>
        <w:sz w:val="24"/>
        <w:szCs w:val="24"/>
        <w:highlight w:val="none"/>
        <w:u w:val="none" w:color="auto"/>
        <w:lang w:val="en-US" w:eastAsia="zh-CN"/>
      </w:rPr>
      <w:t xml:space="preserve"> </w:t>
    </w:r>
    <w:r>
      <w:rPr>
        <w:rFonts w:hint="eastAsia" w:ascii="仿宋" w:hAnsi="仿宋" w:eastAsia="仿宋" w:cs="仿宋"/>
        <w:sz w:val="24"/>
        <w:szCs w:val="24"/>
        <w:highlight w:val="none"/>
        <w:u w:val="none" w:color="auto"/>
      </w:rPr>
      <w:t>目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E6B376"/>
    <w:multiLevelType w:val="multilevel"/>
    <w:tmpl w:val="B1E6B376"/>
    <w:lvl w:ilvl="0" w:tentative="0">
      <w:start w:val="1"/>
      <w:numFmt w:val="decimal"/>
      <w:suff w:val="nothing"/>
      <w:lvlText w:val="%1."/>
      <w:lvlJc w:val="left"/>
      <w:pPr>
        <w:ind w:left="1055" w:hanging="425"/>
      </w:pPr>
      <w:rPr>
        <w:rFonts w:hint="default"/>
      </w:rPr>
    </w:lvl>
    <w:lvl w:ilvl="1" w:tentative="0">
      <w:start w:val="1"/>
      <w:numFmt w:val="decimal"/>
      <w:suff w:val="nothing"/>
      <w:lvlText w:val="(%2)"/>
      <w:lvlJc w:val="left"/>
      <w:pPr>
        <w:ind w:left="147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89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231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73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315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357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99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4410" w:leftChars="0" w:hanging="420" w:firstLineChars="0"/>
      </w:pPr>
      <w:rPr>
        <w:rFonts w:hint="default"/>
      </w:rPr>
    </w:lvl>
  </w:abstractNum>
  <w:abstractNum w:abstractNumId="1">
    <w:nsid w:val="B3664F5E"/>
    <w:multiLevelType w:val="singleLevel"/>
    <w:tmpl w:val="B3664F5E"/>
    <w:lvl w:ilvl="0" w:tentative="0">
      <w:start w:val="1"/>
      <w:numFmt w:val="chineseCounting"/>
      <w:suff w:val="nothing"/>
      <w:lvlText w:val="（%1）"/>
      <w:lvlJc w:val="left"/>
      <w:pPr>
        <w:ind w:left="210" w:firstLine="420"/>
      </w:pPr>
      <w:rPr>
        <w:rFonts w:hint="eastAsia"/>
      </w:rPr>
    </w:lvl>
  </w:abstractNum>
  <w:abstractNum w:abstractNumId="2">
    <w:nsid w:val="2F9B1481"/>
    <w:multiLevelType w:val="singleLevel"/>
    <w:tmpl w:val="2F9B1481"/>
    <w:lvl w:ilvl="0" w:tentative="0">
      <w:start w:val="1"/>
      <w:numFmt w:val="decimal"/>
      <w:suff w:val="nothing"/>
      <w:lvlText w:val="%1."/>
      <w:lvlJc w:val="left"/>
      <w:pPr>
        <w:ind w:left="1370" w:hanging="425"/>
      </w:pPr>
      <w:rPr>
        <w:rFonts w:hint="default"/>
      </w:rPr>
    </w:lvl>
  </w:abstractNum>
  <w:abstractNum w:abstractNumId="3">
    <w:nsid w:val="38B924BE"/>
    <w:multiLevelType w:val="singleLevel"/>
    <w:tmpl w:val="38B924BE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57938E08"/>
    <w:multiLevelType w:val="multilevel"/>
    <w:tmpl w:val="57938E08"/>
    <w:lvl w:ilvl="0" w:tentative="0">
      <w:start w:val="1"/>
      <w:numFmt w:val="decimal"/>
      <w:suff w:val="nothing"/>
      <w:lvlText w:val="%1."/>
      <w:lvlJc w:val="left"/>
      <w:pPr>
        <w:ind w:left="1055" w:hanging="425"/>
      </w:pPr>
      <w:rPr>
        <w:rFonts w:hint="default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147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89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231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73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315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357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99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4410" w:leftChars="0" w:hanging="420" w:firstLineChars="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036C9"/>
    <w:rsid w:val="011103B9"/>
    <w:rsid w:val="013048A9"/>
    <w:rsid w:val="02447828"/>
    <w:rsid w:val="02583D39"/>
    <w:rsid w:val="03343D40"/>
    <w:rsid w:val="04030C62"/>
    <w:rsid w:val="05074E12"/>
    <w:rsid w:val="05237BC9"/>
    <w:rsid w:val="05C560A1"/>
    <w:rsid w:val="063F7863"/>
    <w:rsid w:val="073C1416"/>
    <w:rsid w:val="07DA044F"/>
    <w:rsid w:val="09496384"/>
    <w:rsid w:val="095F6949"/>
    <w:rsid w:val="09D268CB"/>
    <w:rsid w:val="0C5F6ABC"/>
    <w:rsid w:val="0CE1722F"/>
    <w:rsid w:val="0D6E5C6A"/>
    <w:rsid w:val="0F024CF3"/>
    <w:rsid w:val="0FD91EF8"/>
    <w:rsid w:val="129000D9"/>
    <w:rsid w:val="12B91B6C"/>
    <w:rsid w:val="12EF7943"/>
    <w:rsid w:val="134A0A16"/>
    <w:rsid w:val="13BF2C0B"/>
    <w:rsid w:val="13EA459B"/>
    <w:rsid w:val="14740441"/>
    <w:rsid w:val="147C72F5"/>
    <w:rsid w:val="14E57DF9"/>
    <w:rsid w:val="152133BC"/>
    <w:rsid w:val="15431BC1"/>
    <w:rsid w:val="15806971"/>
    <w:rsid w:val="160E3A9D"/>
    <w:rsid w:val="178B185B"/>
    <w:rsid w:val="18907378"/>
    <w:rsid w:val="18D73135"/>
    <w:rsid w:val="19D60B24"/>
    <w:rsid w:val="1B3A75C2"/>
    <w:rsid w:val="1BA2295D"/>
    <w:rsid w:val="1CF33ECD"/>
    <w:rsid w:val="1EA01E32"/>
    <w:rsid w:val="1F470500"/>
    <w:rsid w:val="21817CF9"/>
    <w:rsid w:val="21CB262D"/>
    <w:rsid w:val="23597DC2"/>
    <w:rsid w:val="2443398C"/>
    <w:rsid w:val="24CD5A67"/>
    <w:rsid w:val="25825D31"/>
    <w:rsid w:val="26834513"/>
    <w:rsid w:val="27427379"/>
    <w:rsid w:val="278A18D2"/>
    <w:rsid w:val="29C42E79"/>
    <w:rsid w:val="2B0B22C0"/>
    <w:rsid w:val="2B8F2E25"/>
    <w:rsid w:val="2D564730"/>
    <w:rsid w:val="2D6A7C41"/>
    <w:rsid w:val="2F114B48"/>
    <w:rsid w:val="2F75465E"/>
    <w:rsid w:val="2F7964B4"/>
    <w:rsid w:val="2FC219CE"/>
    <w:rsid w:val="2FDE675F"/>
    <w:rsid w:val="310F3F14"/>
    <w:rsid w:val="315C6BC3"/>
    <w:rsid w:val="3229742D"/>
    <w:rsid w:val="33B71CA0"/>
    <w:rsid w:val="33FB7DDF"/>
    <w:rsid w:val="340E2DCB"/>
    <w:rsid w:val="362324B6"/>
    <w:rsid w:val="363252D6"/>
    <w:rsid w:val="367A6589"/>
    <w:rsid w:val="38F31085"/>
    <w:rsid w:val="39837E8B"/>
    <w:rsid w:val="3A4929BD"/>
    <w:rsid w:val="3A995D31"/>
    <w:rsid w:val="3AC3717D"/>
    <w:rsid w:val="3B3760F2"/>
    <w:rsid w:val="3BD51752"/>
    <w:rsid w:val="3BF4411E"/>
    <w:rsid w:val="3C137C90"/>
    <w:rsid w:val="3CFC7112"/>
    <w:rsid w:val="3D1912D6"/>
    <w:rsid w:val="3DF80EEB"/>
    <w:rsid w:val="3E3B3987"/>
    <w:rsid w:val="41304C66"/>
    <w:rsid w:val="414362E5"/>
    <w:rsid w:val="41975D60"/>
    <w:rsid w:val="41A76EB0"/>
    <w:rsid w:val="41E41EB2"/>
    <w:rsid w:val="42AA3000"/>
    <w:rsid w:val="42DF6B1E"/>
    <w:rsid w:val="43A22025"/>
    <w:rsid w:val="44366A11"/>
    <w:rsid w:val="44B86555"/>
    <w:rsid w:val="45B46040"/>
    <w:rsid w:val="46AE0CE1"/>
    <w:rsid w:val="47064679"/>
    <w:rsid w:val="47173184"/>
    <w:rsid w:val="482C4BB6"/>
    <w:rsid w:val="482D3E87"/>
    <w:rsid w:val="485D4253"/>
    <w:rsid w:val="48FA1FBB"/>
    <w:rsid w:val="49352957"/>
    <w:rsid w:val="49B66A6B"/>
    <w:rsid w:val="49D61095"/>
    <w:rsid w:val="4BBF011E"/>
    <w:rsid w:val="4C733652"/>
    <w:rsid w:val="4D692C75"/>
    <w:rsid w:val="4E5B3558"/>
    <w:rsid w:val="4E8932D4"/>
    <w:rsid w:val="4F6763BF"/>
    <w:rsid w:val="4FEE323A"/>
    <w:rsid w:val="51A200C8"/>
    <w:rsid w:val="52181704"/>
    <w:rsid w:val="5396462A"/>
    <w:rsid w:val="54100667"/>
    <w:rsid w:val="548D7C50"/>
    <w:rsid w:val="54B510F3"/>
    <w:rsid w:val="54FF11FC"/>
    <w:rsid w:val="57236B81"/>
    <w:rsid w:val="589A7317"/>
    <w:rsid w:val="59103135"/>
    <w:rsid w:val="5AD84D0D"/>
    <w:rsid w:val="5B950EA3"/>
    <w:rsid w:val="5C91458D"/>
    <w:rsid w:val="5E2D4789"/>
    <w:rsid w:val="5EE62DCD"/>
    <w:rsid w:val="5F742670"/>
    <w:rsid w:val="5FB567E4"/>
    <w:rsid w:val="6014175D"/>
    <w:rsid w:val="603D15B1"/>
    <w:rsid w:val="623237BE"/>
    <w:rsid w:val="62830E1C"/>
    <w:rsid w:val="64FB113D"/>
    <w:rsid w:val="658E61D2"/>
    <w:rsid w:val="65C60144"/>
    <w:rsid w:val="69E228CC"/>
    <w:rsid w:val="6BAA11CA"/>
    <w:rsid w:val="6D0B1173"/>
    <w:rsid w:val="6E070B53"/>
    <w:rsid w:val="6E296D1B"/>
    <w:rsid w:val="6FD46C64"/>
    <w:rsid w:val="71362F54"/>
    <w:rsid w:val="7213676A"/>
    <w:rsid w:val="735F6D3B"/>
    <w:rsid w:val="736600CA"/>
    <w:rsid w:val="74884070"/>
    <w:rsid w:val="74CE7235"/>
    <w:rsid w:val="78551367"/>
    <w:rsid w:val="78962ECA"/>
    <w:rsid w:val="78F63655"/>
    <w:rsid w:val="7AFB74F7"/>
    <w:rsid w:val="7B23694C"/>
    <w:rsid w:val="7B2C39A7"/>
    <w:rsid w:val="7B726DFD"/>
    <w:rsid w:val="7CCF014E"/>
    <w:rsid w:val="7DC12ACC"/>
    <w:rsid w:val="7E3A63DB"/>
    <w:rsid w:val="7F2005B6"/>
    <w:rsid w:val="7F604F72"/>
    <w:rsid w:val="7FAA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黑体" w:hAnsi="黑体" w:eastAsia="黑体" w:cs="黑体"/>
      <w:sz w:val="28"/>
      <w:szCs w:val="28"/>
      <w:lang w:val="en-US" w:eastAsia="en-US" w:bidi="ar-SA"/>
    </w:r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0"/>
  </w:style>
  <w:style w:type="paragraph" w:styleId="9">
    <w:name w:val="toc 2"/>
    <w:basedOn w:val="1"/>
    <w:next w:val="1"/>
    <w:qFormat/>
    <w:uiPriority w:val="0"/>
    <w:pPr>
      <w:ind w:left="420" w:left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font01"/>
    <w:basedOn w:val="12"/>
    <w:qFormat/>
    <w:uiPriority w:val="0"/>
    <w:rPr>
      <w:rFonts w:ascii="Wingdings" w:hAnsi="Wingdings" w:cs="Wingdings"/>
      <w:color w:val="000000"/>
      <w:sz w:val="21"/>
      <w:szCs w:val="21"/>
      <w:u w:val="none"/>
    </w:rPr>
  </w:style>
  <w:style w:type="character" w:customStyle="1" w:styleId="16">
    <w:name w:val="font1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35</Pages>
  <Words>12146</Words>
  <Characters>12806</Characters>
  <Lines>0</Lines>
  <Paragraphs>0</Paragraphs>
  <TotalTime>3</TotalTime>
  <ScaleCrop>false</ScaleCrop>
  <LinksUpToDate>false</LinksUpToDate>
  <CharactersWithSpaces>13113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2025-06-05T14:45:00Z</dcterms:created>
  <dc:creator>孙晓艳</dc:creator>
  <cp:lastModifiedBy>guest</cp:lastModifiedBy>
  <dcterms:modified xsi:type="dcterms:W3CDTF">2025-12-09T15:21:13Z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KSOTemplateDocerSaveRecord">
    <vt:lpwstr>eyJoZGlkIjoiOGJiODkwMjAwYzdkNjlhMjdhYjdhN2NlMzg4NmJhYTEiLCJ1c2VySWQiOiI0MjA4Mzk5NjgifQ==</vt:lpwstr>
  </property>
  <property fmtid="{D5CDD505-2E9C-101B-9397-08002B2CF9AE}" pid="4" name="ICV">
    <vt:lpwstr>F69840C7771241E482938DDE8D29416E_13</vt:lpwstr>
  </property>
</Properties>
</file>