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仿宋_GB2312" w:hAnsi="方正仿宋_GB2312" w:eastAsia="方正仿宋_GB2312" w:cs="方正仿宋_GB2312"/>
          <w:b w:val="0"/>
          <w:bCs w:val="0"/>
          <w:kern w:val="2"/>
          <w:sz w:val="28"/>
          <w:szCs w:val="28"/>
          <w:highlight w:val="none"/>
          <w:lang w:val="en-US" w:eastAsia="zh-CN" w:bidi="ar-SA"/>
        </w:rPr>
        <w:id w:val="147482284"/>
        <w:showingPlcHdr/>
        <w15:color w:val="DBDBDB"/>
        <w:docPartObj>
          <w:docPartGallery w:val="Table of Contents"/>
          <w:docPartUnique/>
        </w:docPartObj>
      </w:sdtPr>
      <w:sdtEndPr>
        <w:rPr>
          <w:rFonts w:hint="eastAsia" w:ascii="方正仿宋_GB2312" w:hAnsi="方正仿宋_GB2312" w:eastAsia="方正仿宋_GB2312" w:cs="方正仿宋_GB2312"/>
          <w:b/>
          <w:bCs/>
          <w:kern w:val="2"/>
          <w:sz w:val="32"/>
          <w:szCs w:val="32"/>
          <w:highlight w:val="none"/>
          <w:lang w:val="en-US" w:eastAsia="zh-CN" w:bidi="ar-SA"/>
        </w:rPr>
      </w:sdtEndPr>
      <w:sdtContent>
        <w:p>
          <w:pPr>
            <w:outlineLvl w:val="0"/>
            <w:rPr>
              <w:rFonts w:hint="eastAsia" w:ascii="方正小标宋_GBK" w:hAnsi="方正小标宋_GBK" w:eastAsia="方正小标宋_GBK" w:cs="方正小标宋_GBK"/>
              <w:b/>
              <w:bCs w:val="0"/>
              <w:sz w:val="44"/>
              <w:szCs w:val="44"/>
              <w:highlight w:val="none"/>
              <w:lang w:eastAsia="zh-CN"/>
            </w:rPr>
          </w:pPr>
          <w:bookmarkStart w:id="0" w:name="_Toc14512"/>
          <w:bookmarkEnd w:id="0"/>
          <w:bookmarkStart w:id="1" w:name="_Toc23652"/>
          <w:bookmarkEnd w:id="1"/>
          <w:bookmarkStart w:id="2" w:name="_Toc23"/>
          <w:bookmarkEnd w:id="2"/>
          <w:bookmarkStart w:id="3" w:name="_Toc21343"/>
          <w:bookmarkEnd w:id="3"/>
          <w:bookmarkStart w:id="4" w:name="_Toc28876"/>
          <w:bookmarkStart w:id="5" w:name="_Toc8219"/>
          <w:bookmarkStart w:id="6" w:name="_Toc24089"/>
        </w:p>
      </w:sdtContent>
    </w:sdt>
    <w:p>
      <w:pPr>
        <w:keepNext w:val="0"/>
        <w:keepLines w:val="0"/>
        <w:pageBreakBefore w:val="0"/>
        <w:tabs>
          <w:tab w:val="left" w:pos="3803"/>
        </w:tabs>
        <w:kinsoku/>
        <w:wordWrap/>
        <w:overflowPunct/>
        <w:topLinePunct w:val="0"/>
        <w:autoSpaceDE/>
        <w:autoSpaceDN/>
        <w:bidi w:val="0"/>
        <w:spacing w:line="560" w:lineRule="exact"/>
        <w:jc w:val="center"/>
        <w:textAlignment w:val="auto"/>
        <w:outlineLvl w:val="1"/>
        <w:rPr>
          <w:rFonts w:hint="eastAsia" w:ascii="黑体" w:hAnsi="黑体" w:eastAsia="黑体" w:cs="黑体"/>
          <w:b/>
          <w:bCs w:val="0"/>
          <w:sz w:val="44"/>
          <w:szCs w:val="44"/>
          <w:highlight w:val="none"/>
          <w:lang w:val="en-US" w:eastAsia="zh-CN"/>
        </w:rPr>
      </w:pPr>
      <w:r>
        <w:rPr>
          <w:rFonts w:hint="eastAsia" w:ascii="方正小标宋_GBK" w:hAnsi="方正小标宋_GBK" w:eastAsia="方正小标宋_GBK" w:cs="方正小标宋_GBK"/>
          <w:b/>
          <w:bCs w:val="0"/>
          <w:sz w:val="44"/>
          <w:szCs w:val="44"/>
          <w:highlight w:val="none"/>
          <w:lang w:eastAsia="zh-CN"/>
        </w:rPr>
        <w:t>斧头湖北洪港河子流域生态修复工程</w:t>
      </w:r>
      <w:r>
        <w:rPr>
          <w:rFonts w:hint="eastAsia" w:ascii="黑体" w:hAnsi="黑体" w:eastAsia="黑体" w:cs="黑体"/>
          <w:b/>
          <w:bCs w:val="0"/>
          <w:sz w:val="44"/>
          <w:szCs w:val="44"/>
          <w:highlight w:val="none"/>
          <w:lang w:val="en-US" w:eastAsia="zh-CN"/>
        </w:rPr>
        <w:t>项目</w:t>
      </w:r>
      <w:bookmarkEnd w:id="4"/>
      <w:bookmarkStart w:id="7" w:name="_Toc32122"/>
      <w:bookmarkStart w:id="8" w:name="_Toc23037"/>
    </w:p>
    <w:p>
      <w:pPr>
        <w:keepNext w:val="0"/>
        <w:keepLines w:val="0"/>
        <w:pageBreakBefore w:val="0"/>
        <w:tabs>
          <w:tab w:val="left" w:pos="3803"/>
        </w:tabs>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bCs w:val="0"/>
          <w:color w:val="auto"/>
          <w:sz w:val="44"/>
          <w:szCs w:val="44"/>
          <w:highlight w:val="none"/>
          <w:lang w:eastAsia="zh-CN"/>
        </w:rPr>
      </w:pPr>
      <w:r>
        <w:rPr>
          <w:rFonts w:hint="eastAsia" w:ascii="方正小标宋_GBK" w:hAnsi="方正小标宋_GBK" w:eastAsia="方正小标宋_GBK" w:cs="方正小标宋_GBK"/>
          <w:b/>
          <w:bCs w:val="0"/>
          <w:color w:val="auto"/>
          <w:sz w:val="44"/>
          <w:szCs w:val="44"/>
          <w:highlight w:val="none"/>
          <w:lang w:eastAsia="zh-CN"/>
        </w:rPr>
        <w:t>绩效评价报告</w:t>
      </w:r>
      <w:bookmarkEnd w:id="5"/>
      <w:bookmarkEnd w:id="6"/>
      <w:bookmarkEnd w:id="7"/>
      <w:bookmarkEnd w:id="8"/>
    </w:p>
    <w:p>
      <w:pPr>
        <w:pStyle w:val="22"/>
        <w:keepNext w:val="0"/>
        <w:keepLines w:val="0"/>
        <w:pageBreakBefore w:val="0"/>
        <w:kinsoku/>
        <w:wordWrap/>
        <w:overflowPunct/>
        <w:topLinePunct w:val="0"/>
        <w:autoSpaceDE/>
        <w:autoSpaceDN/>
        <w:bidi w:val="0"/>
        <w:spacing w:line="560" w:lineRule="exact"/>
        <w:jc w:val="center"/>
        <w:textAlignment w:val="auto"/>
        <w:rPr>
          <w:rFonts w:hint="eastAsia" w:ascii="楷体" w:hAnsi="楷体" w:eastAsia="楷体" w:cs="楷体"/>
          <w:sz w:val="32"/>
          <w:szCs w:val="32"/>
          <w:highlight w:val="none"/>
          <w:lang w:val="en-US"/>
        </w:rPr>
      </w:pPr>
    </w:p>
    <w:p>
      <w:pPr>
        <w:pStyle w:val="22"/>
        <w:keepNext w:val="0"/>
        <w:keepLines w:val="0"/>
        <w:pageBreakBefore w:val="0"/>
        <w:kinsoku/>
        <w:wordWrap/>
        <w:overflowPunct/>
        <w:topLinePunct w:val="0"/>
        <w:autoSpaceDE/>
        <w:autoSpaceDN/>
        <w:bidi w:val="0"/>
        <w:spacing w:before="156" w:after="156" w:line="560" w:lineRule="exact"/>
        <w:jc w:val="center"/>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豫德</w:t>
      </w:r>
      <w:r>
        <w:rPr>
          <w:rFonts w:hint="eastAsia" w:ascii="楷体" w:hAnsi="楷体" w:eastAsia="楷体" w:cs="楷体"/>
          <w:color w:val="auto"/>
          <w:sz w:val="32"/>
          <w:szCs w:val="32"/>
          <w:highlight w:val="none"/>
        </w:rPr>
        <w:t>评</w:t>
      </w:r>
      <w:r>
        <w:rPr>
          <w:rFonts w:hint="eastAsia" w:ascii="楷体" w:hAnsi="楷体" w:eastAsia="楷体" w:cs="楷体"/>
          <w:color w:val="auto"/>
          <w:sz w:val="32"/>
          <w:szCs w:val="32"/>
          <w:highlight w:val="none"/>
          <w:lang w:val="en-US" w:eastAsia="zh-CN"/>
        </w:rPr>
        <w:t>字〔</w:t>
      </w:r>
      <w:r>
        <w:rPr>
          <w:rFonts w:hint="eastAsia" w:ascii="楷体" w:hAnsi="楷体" w:eastAsia="楷体" w:cs="楷体"/>
          <w:color w:val="auto"/>
          <w:sz w:val="32"/>
          <w:szCs w:val="32"/>
          <w:highlight w:val="none"/>
        </w:rPr>
        <w:t>202</w:t>
      </w:r>
      <w:r>
        <w:rPr>
          <w:rFonts w:hint="eastAsia" w:ascii="楷体" w:hAnsi="楷体" w:eastAsia="楷体" w:cs="楷体"/>
          <w:color w:val="auto"/>
          <w:sz w:val="32"/>
          <w:szCs w:val="32"/>
          <w:highlight w:val="none"/>
          <w:lang w:val="en-US" w:eastAsia="zh-CN"/>
        </w:rPr>
        <w:t>5〕1021</w:t>
      </w:r>
      <w:r>
        <w:rPr>
          <w:rFonts w:hint="eastAsia" w:ascii="楷体" w:hAnsi="楷体" w:eastAsia="楷体" w:cs="楷体"/>
          <w:color w:val="auto"/>
          <w:sz w:val="32"/>
          <w:szCs w:val="32"/>
          <w:highlight w:val="none"/>
        </w:rPr>
        <w:t>号</w:t>
      </w:r>
    </w:p>
    <w:p>
      <w:pPr>
        <w:pStyle w:val="22"/>
        <w:keepNext w:val="0"/>
        <w:keepLines w:val="0"/>
        <w:pageBreakBefore w:val="0"/>
        <w:kinsoku/>
        <w:wordWrap/>
        <w:overflowPunct/>
        <w:topLinePunct w:val="0"/>
        <w:autoSpaceDE/>
        <w:autoSpaceDN/>
        <w:bidi w:val="0"/>
        <w:spacing w:before="156" w:after="156" w:line="560" w:lineRule="exact"/>
        <w:textAlignment w:val="auto"/>
        <w:rPr>
          <w:rFonts w:hint="eastAsia" w:ascii="楷体" w:hAnsi="楷体" w:eastAsia="楷体" w:cs="楷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sz w:val="32"/>
          <w:szCs w:val="32"/>
          <w:highlight w:val="none"/>
          <w:u w:val="none"/>
          <w:lang w:val="zh-CN"/>
        </w:rPr>
        <w:t>河南德利达会计师事务所（普通合伙）</w:t>
      </w:r>
      <w:r>
        <w:rPr>
          <w:rFonts w:hint="eastAsia" w:ascii="仿宋" w:hAnsi="仿宋" w:eastAsia="仿宋" w:cs="仿宋"/>
          <w:b w:val="0"/>
          <w:bCs w:val="0"/>
          <w:kern w:val="2"/>
          <w:sz w:val="32"/>
          <w:szCs w:val="32"/>
          <w:highlight w:val="none"/>
          <w:lang w:val="en-US" w:eastAsia="zh-CN" w:bidi="ar-SA"/>
        </w:rPr>
        <w:t>接</w:t>
      </w:r>
      <w:r>
        <w:rPr>
          <w:rFonts w:hint="eastAsia" w:ascii="仿宋" w:hAnsi="仿宋" w:eastAsia="仿宋" w:cs="仿宋"/>
          <w:b w:val="0"/>
          <w:bCs w:val="0"/>
          <w:color w:val="auto"/>
          <w:kern w:val="2"/>
          <w:sz w:val="32"/>
          <w:szCs w:val="32"/>
          <w:highlight w:val="none"/>
          <w:lang w:val="en-US" w:eastAsia="zh-CN" w:bidi="ar-SA"/>
        </w:rPr>
        <w:t>受咸安区财政局委</w:t>
      </w:r>
      <w:r>
        <w:rPr>
          <w:rFonts w:hint="eastAsia" w:ascii="仿宋" w:hAnsi="仿宋" w:eastAsia="仿宋" w:cs="仿宋"/>
          <w:b w:val="0"/>
          <w:bCs w:val="0"/>
          <w:kern w:val="2"/>
          <w:sz w:val="32"/>
          <w:szCs w:val="32"/>
          <w:highlight w:val="none"/>
          <w:lang w:val="en-US" w:eastAsia="zh-CN" w:bidi="ar-SA"/>
        </w:rPr>
        <w:t>托，</w:t>
      </w:r>
      <w:r>
        <w:rPr>
          <w:rFonts w:hint="eastAsia" w:ascii="仿宋" w:hAnsi="仿宋" w:eastAsia="仿宋" w:cs="仿宋"/>
          <w:b w:val="0"/>
          <w:bCs w:val="0"/>
          <w:sz w:val="32"/>
          <w:szCs w:val="32"/>
          <w:highlight w:val="none"/>
          <w:u w:val="none"/>
          <w:lang w:val="en-US" w:eastAsia="zh-CN" w:bidi="en-US"/>
        </w:rPr>
        <w:t>按照</w:t>
      </w:r>
      <w:r>
        <w:rPr>
          <w:rFonts w:hint="eastAsia" w:ascii="仿宋" w:hAnsi="仿宋" w:eastAsia="仿宋"/>
          <w:b w:val="0"/>
          <w:bCs w:val="0"/>
          <w:sz w:val="32"/>
          <w:szCs w:val="32"/>
          <w:highlight w:val="none"/>
        </w:rPr>
        <w:t>《</w:t>
      </w:r>
      <w:r>
        <w:rPr>
          <w:rFonts w:hint="eastAsia" w:ascii="仿宋" w:hAnsi="仿宋" w:eastAsia="仿宋"/>
          <w:b w:val="0"/>
          <w:bCs w:val="0"/>
          <w:sz w:val="32"/>
          <w:szCs w:val="32"/>
          <w:highlight w:val="none"/>
          <w:lang w:val="en-US" w:eastAsia="zh-CN"/>
        </w:rPr>
        <w:t>咸安区关于开展重点项目绩效评价的通知</w:t>
      </w:r>
      <w:r>
        <w:rPr>
          <w:rFonts w:hint="eastAsia" w:ascii="仿宋" w:hAnsi="仿宋" w:eastAsia="仿宋"/>
          <w:b w:val="0"/>
          <w:bCs w:val="0"/>
          <w:sz w:val="32"/>
          <w:szCs w:val="32"/>
          <w:highlight w:val="none"/>
        </w:rPr>
        <w:t>》</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咸财绩函</w:t>
      </w:r>
      <w:r>
        <w:rPr>
          <w:rFonts w:hint="eastAsia" w:ascii="仿宋" w:hAnsi="仿宋" w:eastAsia="仿宋" w:cs="仿宋"/>
          <w:b w:val="0"/>
          <w:bCs w:val="0"/>
          <w:kern w:val="2"/>
          <w:sz w:val="32"/>
          <w:szCs w:val="32"/>
          <w:highlight w:val="none"/>
          <w:lang w:val="en-US" w:eastAsia="zh-CN" w:bidi="ar-SA"/>
        </w:rPr>
        <w:t>〔2025〕</w:t>
      </w:r>
      <w:r>
        <w:rPr>
          <w:rFonts w:hint="eastAsia" w:ascii="仿宋" w:hAnsi="仿宋" w:eastAsia="仿宋"/>
          <w:b w:val="0"/>
          <w:bCs w:val="0"/>
          <w:sz w:val="32"/>
          <w:szCs w:val="32"/>
          <w:highlight w:val="none"/>
          <w:lang w:val="en-US" w:eastAsia="zh-CN"/>
        </w:rPr>
        <w:t>8号）通知要求，</w:t>
      </w:r>
      <w:r>
        <w:rPr>
          <w:rFonts w:hint="eastAsia" w:ascii="仿宋" w:hAnsi="仿宋" w:eastAsia="仿宋" w:cs="仿宋"/>
          <w:b w:val="0"/>
          <w:bCs w:val="0"/>
          <w:kern w:val="2"/>
          <w:sz w:val="32"/>
          <w:szCs w:val="32"/>
          <w:highlight w:val="none"/>
          <w:lang w:val="en-US" w:eastAsia="zh-CN" w:bidi="ar-SA"/>
        </w:rPr>
        <w:t>根据湖北省财政厅绩效评价有关文件规定，结合政府公共预算绩效管理的一般原理，运用科学、规范的评价方法，遵循“科学公正、统筹兼顾、激励约束、公开透明”的基本原则，</w:t>
      </w:r>
      <w:r>
        <w:rPr>
          <w:rFonts w:hint="eastAsia" w:ascii="仿宋" w:hAnsi="仿宋" w:eastAsia="仿宋" w:cs="仿宋"/>
          <w:bCs/>
          <w:caps/>
          <w:sz w:val="32"/>
          <w:szCs w:val="32"/>
          <w:highlight w:val="none"/>
          <w:lang w:val="en-US" w:eastAsia="zh-CN"/>
        </w:rPr>
        <w:t>对咸安区斧头湖北洪港河子流域生态修复工程</w:t>
      </w:r>
      <w:r>
        <w:rPr>
          <w:rFonts w:hint="eastAsia" w:ascii="仿宋" w:hAnsi="仿宋" w:eastAsia="仿宋" w:cs="仿宋"/>
          <w:b w:val="0"/>
          <w:bCs w:val="0"/>
          <w:kern w:val="2"/>
          <w:sz w:val="32"/>
          <w:szCs w:val="32"/>
          <w:highlight w:val="none"/>
          <w:lang w:val="en-US" w:eastAsia="zh-CN" w:bidi="ar-SA"/>
        </w:rPr>
        <w:t>从</w:t>
      </w:r>
      <w:r>
        <w:rPr>
          <w:rFonts w:hint="eastAsia" w:ascii="仿宋" w:hAnsi="仿宋" w:eastAsia="仿宋" w:cs="仿宋"/>
          <w:b w:val="0"/>
          <w:bCs w:val="0"/>
          <w:sz w:val="32"/>
          <w:szCs w:val="32"/>
          <w:highlight w:val="none"/>
          <w:u w:val="none"/>
          <w:lang w:eastAsia="zh-CN" w:bidi="en-US"/>
        </w:rPr>
        <w:t>项目</w:t>
      </w:r>
      <w:r>
        <w:rPr>
          <w:rFonts w:hint="eastAsia" w:ascii="仿宋" w:hAnsi="仿宋" w:eastAsia="仿宋" w:cs="仿宋"/>
          <w:b w:val="0"/>
          <w:bCs w:val="0"/>
          <w:kern w:val="2"/>
          <w:sz w:val="32"/>
          <w:szCs w:val="32"/>
          <w:highlight w:val="none"/>
          <w:lang w:val="en-US" w:eastAsia="zh-CN" w:bidi="ar-SA"/>
        </w:rPr>
        <w:t>决策、过程、产出和效果等绩效指标完成情况，实施绩效评价,形成本次绩效评价报告。</w:t>
      </w:r>
      <w:bookmarkStart w:id="9" w:name="_Toc22616"/>
      <w:bookmarkStart w:id="10" w:name="_Toc27763"/>
      <w:bookmarkStart w:id="11" w:name="_Toc7512"/>
    </w:p>
    <w:bookmarkEnd w:id="9"/>
    <w:bookmarkEnd w:id="10"/>
    <w:bookmarkEnd w:id="11"/>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楷体" w:hAnsi="楷体" w:eastAsia="楷体" w:cs="楷体"/>
          <w:b/>
          <w:bCs/>
          <w:kern w:val="2"/>
          <w:sz w:val="32"/>
          <w:szCs w:val="32"/>
          <w:highlight w:val="none"/>
          <w:lang w:val="en-US" w:eastAsia="zh-CN" w:bidi="ar-SA"/>
        </w:rPr>
      </w:pPr>
      <w:bookmarkStart w:id="12" w:name="_Toc21177"/>
      <w:bookmarkStart w:id="13" w:name="_Toc31755"/>
      <w:bookmarkStart w:id="14" w:name="_Toc31468"/>
      <w:bookmarkStart w:id="15" w:name="_Toc22125"/>
      <w:bookmarkStart w:id="16" w:name="_Toc22221"/>
      <w:bookmarkStart w:id="17" w:name="_Toc6773"/>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仿宋" w:hAnsi="仿宋" w:eastAsia="仿宋" w:cs="仿宋"/>
          <w:b w:val="0"/>
          <w:bCs w:val="0"/>
          <w:kern w:val="2"/>
          <w:sz w:val="32"/>
          <w:szCs w:val="32"/>
          <w:highlight w:val="none"/>
          <w:lang w:val="en-US" w:eastAsia="zh-CN" w:bidi="ar-SA"/>
        </w:rPr>
      </w:pPr>
      <w:bookmarkStart w:id="51" w:name="_GoBack"/>
      <w:bookmarkEnd w:id="51"/>
      <w:r>
        <w:rPr>
          <w:rFonts w:hint="eastAsia" w:ascii="楷体" w:hAnsi="楷体" w:eastAsia="楷体" w:cs="楷体"/>
          <w:b/>
          <w:bCs/>
          <w:kern w:val="2"/>
          <w:sz w:val="32"/>
          <w:szCs w:val="32"/>
          <w:highlight w:val="none"/>
          <w:lang w:val="en-US" w:eastAsia="zh-CN" w:bidi="ar-SA"/>
        </w:rPr>
        <w:t>（一）绩效评价分数和等级</w:t>
      </w:r>
      <w:bookmarkEnd w:id="12"/>
      <w:bookmarkEnd w:id="13"/>
      <w:bookmarkEnd w:id="14"/>
      <w:bookmarkEnd w:id="15"/>
      <w:bookmarkEnd w:id="16"/>
      <w:bookmarkEnd w:id="17"/>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通</w:t>
      </w:r>
      <w:r>
        <w:rPr>
          <w:rFonts w:hint="eastAsia" w:ascii="仿宋" w:hAnsi="仿宋" w:eastAsia="仿宋" w:cs="仿宋"/>
          <w:b w:val="0"/>
          <w:bCs w:val="0"/>
          <w:color w:val="auto"/>
          <w:kern w:val="2"/>
          <w:sz w:val="32"/>
          <w:szCs w:val="32"/>
          <w:highlight w:val="none"/>
          <w:lang w:val="en-US" w:eastAsia="zh-CN" w:bidi="ar-SA"/>
        </w:rPr>
        <w:t>过绩效评价指标体系打分，项目绩效评价综合得分</w:t>
      </w:r>
      <w:r>
        <w:rPr>
          <w:rFonts w:hint="eastAsia" w:ascii="仿宋" w:hAnsi="仿宋" w:eastAsia="仿宋" w:cs="仿宋"/>
          <w:bCs/>
          <w:caps/>
          <w:color w:val="auto"/>
          <w:sz w:val="32"/>
          <w:szCs w:val="32"/>
          <w:highlight w:val="none"/>
          <w:lang w:val="en-US" w:eastAsia="zh-CN"/>
        </w:rPr>
        <w:t>89</w:t>
      </w:r>
      <w:r>
        <w:rPr>
          <w:rFonts w:hint="eastAsia" w:ascii="仿宋" w:hAnsi="仿宋" w:eastAsia="仿宋" w:cs="仿宋"/>
          <w:b w:val="0"/>
          <w:bCs w:val="0"/>
          <w:color w:val="auto"/>
          <w:kern w:val="2"/>
          <w:sz w:val="32"/>
          <w:szCs w:val="32"/>
          <w:highlight w:val="none"/>
          <w:lang w:val="en-US" w:eastAsia="zh-CN" w:bidi="ar-SA"/>
        </w:rPr>
        <w:t>分（满分100分），</w:t>
      </w:r>
      <w:r>
        <w:rPr>
          <w:rFonts w:hint="eastAsia" w:ascii="仿宋" w:hAnsi="仿宋" w:eastAsia="仿宋" w:cs="仿宋"/>
          <w:b w:val="0"/>
          <w:bCs w:val="0"/>
          <w:kern w:val="2"/>
          <w:sz w:val="32"/>
          <w:szCs w:val="32"/>
          <w:highlight w:val="none"/>
          <w:lang w:val="en-US" w:eastAsia="zh-CN" w:bidi="ar-SA"/>
        </w:rPr>
        <w:t>依据财政部《项目支出绩效评价管理办法》（财预〔2020〕10号）评价定级标准，该项目绩效评价结果级别为“良”。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绩效评价分数和等级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color w:val="000000"/>
          <w:kern w:val="0"/>
          <w:sz w:val="32"/>
          <w:szCs w:val="32"/>
          <w:highlight w:val="none"/>
          <w:u w:val="none"/>
          <w:lang w:val="en-US" w:eastAsia="zh-CN" w:bidi="ar"/>
        </w:rPr>
        <w:sectPr>
          <w:headerReference r:id="rId3" w:type="default"/>
          <w:footerReference r:id="rId4" w:type="default"/>
          <w:pgSz w:w="11906" w:h="16838"/>
          <w:pgMar w:top="964" w:right="1474" w:bottom="850" w:left="1587" w:header="1304" w:footer="1361" w:gutter="0"/>
          <w:pgNumType w:fmt="decimal" w:start="1"/>
          <w:cols w:space="0" w:num="1"/>
          <w:rtlGutter w:val="0"/>
          <w:docGrid w:type="lines" w:linePitch="312" w:charSpace="0"/>
        </w:sectPr>
      </w:pPr>
    </w:p>
    <w:tbl>
      <w:tblPr>
        <w:tblStyle w:val="23"/>
        <w:tblW w:w="7684" w:type="dxa"/>
        <w:jc w:val="center"/>
        <w:tblLayout w:type="fixed"/>
        <w:tblCellMar>
          <w:top w:w="0" w:type="dxa"/>
          <w:left w:w="0" w:type="dxa"/>
          <w:bottom w:w="0" w:type="dxa"/>
          <w:right w:w="0" w:type="dxa"/>
        </w:tblCellMar>
      </w:tblPr>
      <w:tblGrid>
        <w:gridCol w:w="2093"/>
        <w:gridCol w:w="1800"/>
        <w:gridCol w:w="1900"/>
        <w:gridCol w:w="1891"/>
      </w:tblGrid>
      <w:tr>
        <w:tblPrEx>
          <w:tblCellMar>
            <w:top w:w="0" w:type="dxa"/>
            <w:left w:w="0" w:type="dxa"/>
            <w:bottom w:w="0" w:type="dxa"/>
            <w:right w:w="0" w:type="dxa"/>
          </w:tblCellMar>
        </w:tblPrEx>
        <w:trPr>
          <w:trHeight w:val="554"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olor w:val="000000"/>
                <w:sz w:val="32"/>
                <w:szCs w:val="32"/>
                <w:highlight w:val="none"/>
                <w:u w:val="none"/>
              </w:rPr>
            </w:pPr>
            <w:r>
              <w:rPr>
                <w:rFonts w:hint="eastAsia" w:ascii="宋体" w:hAnsi="宋体" w:eastAsia="宋体" w:cs="宋体"/>
                <w:i w:val="0"/>
                <w:color w:val="000000"/>
                <w:kern w:val="0"/>
                <w:sz w:val="32"/>
                <w:szCs w:val="32"/>
                <w:highlight w:val="none"/>
                <w:u w:val="none"/>
                <w:lang w:val="en-US" w:eastAsia="zh-CN" w:bidi="ar"/>
              </w:rPr>
              <w:br w:type="page"/>
            </w:r>
            <w:r>
              <w:rPr>
                <w:rFonts w:hint="eastAsia" w:ascii="仿宋" w:hAnsi="仿宋" w:eastAsia="仿宋" w:cs="仿宋"/>
                <w:i w:val="0"/>
                <w:color w:val="000000"/>
                <w:kern w:val="0"/>
                <w:sz w:val="32"/>
                <w:szCs w:val="32"/>
                <w:highlight w:val="none"/>
                <w:u w:val="none"/>
                <w:lang w:val="en-US" w:eastAsia="zh-CN" w:bidi="ar"/>
              </w:rPr>
              <w:t>项目</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标准分数</w:t>
            </w:r>
          </w:p>
        </w:tc>
        <w:tc>
          <w:tcPr>
            <w:tcW w:w="19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评价得分</w:t>
            </w:r>
          </w:p>
        </w:tc>
        <w:tc>
          <w:tcPr>
            <w:tcW w:w="18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宋体" w:hAnsi="宋体" w:eastAsia="宋体" w:cs="宋体"/>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等级</w:t>
            </w:r>
          </w:p>
        </w:tc>
      </w:tr>
      <w:tr>
        <w:tblPrEx>
          <w:tblCellMar>
            <w:top w:w="0" w:type="dxa"/>
            <w:left w:w="0" w:type="dxa"/>
            <w:bottom w:w="0" w:type="dxa"/>
            <w:right w:w="0" w:type="dxa"/>
          </w:tblCellMar>
        </w:tblPrEx>
        <w:trPr>
          <w:trHeight w:val="461"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auto"/>
                <w:sz w:val="32"/>
                <w:szCs w:val="32"/>
                <w:highlight w:val="none"/>
                <w:u w:val="none"/>
              </w:rPr>
            </w:pPr>
            <w:r>
              <w:rPr>
                <w:rFonts w:hint="eastAsia" w:ascii="仿宋" w:hAnsi="仿宋" w:eastAsia="仿宋" w:cs="仿宋"/>
                <w:i w:val="0"/>
                <w:color w:val="auto"/>
                <w:kern w:val="0"/>
                <w:sz w:val="32"/>
                <w:szCs w:val="32"/>
                <w:highlight w:val="none"/>
                <w:u w:val="none"/>
                <w:lang w:val="en-US" w:eastAsia="zh-CN" w:bidi="ar"/>
              </w:rPr>
              <w:t>决策</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rPr>
            </w:pPr>
            <w:r>
              <w:rPr>
                <w:rFonts w:hint="eastAsia" w:ascii="仿宋" w:hAnsi="仿宋" w:eastAsia="仿宋" w:cs="仿宋"/>
                <w:i w:val="0"/>
                <w:color w:val="auto"/>
                <w:kern w:val="0"/>
                <w:sz w:val="32"/>
                <w:szCs w:val="32"/>
                <w:highlight w:val="none"/>
                <w:u w:val="none"/>
                <w:lang w:val="en-US" w:eastAsia="zh-CN" w:bidi="ar"/>
              </w:rPr>
              <w:t>20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19</w:t>
            </w:r>
          </w:p>
        </w:tc>
        <w:tc>
          <w:tcPr>
            <w:tcW w:w="189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宋体" w:hAnsi="宋体" w:eastAsia="宋体" w:cs="宋体"/>
                <w:i w:val="0"/>
                <w:color w:val="000000"/>
                <w:sz w:val="32"/>
                <w:szCs w:val="32"/>
                <w:highlight w:val="none"/>
                <w:u w:val="none"/>
                <w:lang w:val="en-US" w:eastAsia="zh-CN"/>
              </w:rPr>
            </w:pPr>
            <w:r>
              <w:rPr>
                <w:rFonts w:hint="eastAsia" w:ascii="宋体" w:hAnsi="宋体" w:eastAsia="宋体" w:cs="宋体"/>
                <w:i w:val="0"/>
                <w:color w:val="000000"/>
                <w:sz w:val="32"/>
                <w:szCs w:val="32"/>
                <w:highlight w:val="none"/>
                <w:u w:val="none"/>
                <w:lang w:val="en-US" w:eastAsia="zh-CN"/>
              </w:rPr>
              <w:t>良</w:t>
            </w:r>
          </w:p>
        </w:tc>
      </w:tr>
      <w:tr>
        <w:trPr>
          <w:trHeight w:val="293"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auto"/>
                <w:sz w:val="32"/>
                <w:szCs w:val="32"/>
                <w:highlight w:val="none"/>
                <w:u w:val="none"/>
              </w:rPr>
            </w:pPr>
            <w:r>
              <w:rPr>
                <w:rFonts w:hint="eastAsia" w:ascii="仿宋" w:hAnsi="仿宋" w:eastAsia="仿宋" w:cs="仿宋"/>
                <w:i w:val="0"/>
                <w:color w:val="auto"/>
                <w:kern w:val="0"/>
                <w:sz w:val="32"/>
                <w:szCs w:val="32"/>
                <w:highlight w:val="none"/>
                <w:u w:val="none"/>
                <w:lang w:val="en-US" w:eastAsia="zh-CN" w:bidi="ar"/>
              </w:rPr>
              <w:t>过程</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rPr>
            </w:pPr>
            <w:r>
              <w:rPr>
                <w:rFonts w:hint="eastAsia" w:ascii="仿宋" w:hAnsi="仿宋" w:eastAsia="仿宋" w:cs="仿宋"/>
                <w:i w:val="0"/>
                <w:color w:val="auto"/>
                <w:kern w:val="0"/>
                <w:sz w:val="32"/>
                <w:szCs w:val="32"/>
                <w:highlight w:val="none"/>
                <w:u w:val="none"/>
                <w:lang w:val="en-US" w:eastAsia="zh-CN" w:bidi="ar"/>
              </w:rPr>
              <w:t>20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17</w:t>
            </w:r>
          </w:p>
        </w:tc>
        <w:tc>
          <w:tcPr>
            <w:tcW w:w="1891"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rPr>
          <w:trHeight w:val="246"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auto"/>
                <w:sz w:val="32"/>
                <w:szCs w:val="32"/>
                <w:highlight w:val="none"/>
                <w:u w:val="none"/>
              </w:rPr>
            </w:pPr>
            <w:r>
              <w:rPr>
                <w:rFonts w:hint="eastAsia" w:ascii="仿宋" w:hAnsi="仿宋" w:eastAsia="仿宋" w:cs="仿宋"/>
                <w:i w:val="0"/>
                <w:color w:val="auto"/>
                <w:kern w:val="0"/>
                <w:sz w:val="32"/>
                <w:szCs w:val="32"/>
                <w:highlight w:val="none"/>
                <w:u w:val="none"/>
                <w:lang w:val="en-US" w:eastAsia="zh-CN" w:bidi="ar"/>
              </w:rPr>
              <w:t>产出</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35</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30</w:t>
            </w:r>
          </w:p>
        </w:tc>
        <w:tc>
          <w:tcPr>
            <w:tcW w:w="1891"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blPrEx>
          <w:tblCellMar>
            <w:top w:w="0" w:type="dxa"/>
            <w:left w:w="0" w:type="dxa"/>
            <w:bottom w:w="0" w:type="dxa"/>
            <w:right w:w="0" w:type="dxa"/>
          </w:tblCellMar>
        </w:tblPrEx>
        <w:trPr>
          <w:trHeight w:val="527"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auto"/>
                <w:sz w:val="32"/>
                <w:szCs w:val="32"/>
                <w:highlight w:val="none"/>
                <w:u w:val="none"/>
              </w:rPr>
            </w:pPr>
            <w:r>
              <w:rPr>
                <w:rFonts w:hint="eastAsia" w:ascii="仿宋" w:hAnsi="仿宋" w:eastAsia="仿宋" w:cs="仿宋"/>
                <w:i w:val="0"/>
                <w:color w:val="auto"/>
                <w:kern w:val="0"/>
                <w:sz w:val="32"/>
                <w:szCs w:val="32"/>
                <w:highlight w:val="none"/>
                <w:u w:val="none"/>
                <w:lang w:val="en-US" w:eastAsia="zh-CN" w:bidi="ar"/>
              </w:rPr>
              <w:t>效果</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25</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23</w:t>
            </w:r>
          </w:p>
        </w:tc>
        <w:tc>
          <w:tcPr>
            <w:tcW w:w="1891"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rPr>
          <w:trHeight w:val="611"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bottom"/>
              <w:outlineLvl w:val="9"/>
              <w:rPr>
                <w:rFonts w:hint="eastAsia" w:ascii="仿宋" w:hAnsi="仿宋" w:eastAsia="仿宋" w:cs="仿宋"/>
                <w:i w:val="0"/>
                <w:color w:val="auto"/>
                <w:sz w:val="32"/>
                <w:szCs w:val="32"/>
                <w:highlight w:val="none"/>
                <w:u w:val="none"/>
              </w:rPr>
            </w:pPr>
            <w:r>
              <w:rPr>
                <w:rFonts w:hint="eastAsia" w:ascii="仿宋" w:hAnsi="仿宋" w:eastAsia="仿宋" w:cs="仿宋"/>
                <w:i w:val="0"/>
                <w:color w:val="auto"/>
                <w:kern w:val="0"/>
                <w:sz w:val="32"/>
                <w:szCs w:val="32"/>
                <w:highlight w:val="none"/>
                <w:u w:val="none"/>
                <w:lang w:val="en-US" w:eastAsia="zh-CN" w:bidi="ar"/>
              </w:rPr>
              <w:t>合计</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outlineLvl w:val="9"/>
              <w:rPr>
                <w:rFonts w:hint="eastAsia"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100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bottom"/>
              <w:outlineLvl w:val="9"/>
              <w:rPr>
                <w:rFonts w:hint="default" w:ascii="仿宋" w:hAnsi="仿宋" w:eastAsia="仿宋" w:cs="仿宋"/>
                <w:i w:val="0"/>
                <w:color w:val="auto"/>
                <w:sz w:val="32"/>
                <w:szCs w:val="32"/>
                <w:highlight w:val="none"/>
                <w:u w:val="none"/>
                <w:lang w:val="en-US" w:eastAsia="zh-CN"/>
              </w:rPr>
            </w:pPr>
            <w:r>
              <w:rPr>
                <w:rFonts w:hint="eastAsia" w:ascii="仿宋" w:hAnsi="仿宋" w:eastAsia="仿宋" w:cs="仿宋"/>
                <w:i w:val="0"/>
                <w:color w:val="auto"/>
                <w:sz w:val="32"/>
                <w:szCs w:val="32"/>
                <w:highlight w:val="none"/>
                <w:u w:val="none"/>
                <w:lang w:val="en-US" w:eastAsia="zh-CN"/>
              </w:rPr>
              <w:t>89</w:t>
            </w:r>
          </w:p>
        </w:tc>
        <w:tc>
          <w:tcPr>
            <w:tcW w:w="1891"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center"/>
              <w:textAlignment w:val="bottom"/>
              <w:outlineLvl w:val="9"/>
              <w:rPr>
                <w:rFonts w:hint="eastAsia" w:ascii="宋体" w:hAnsi="宋体" w:eastAsia="宋体" w:cs="宋体"/>
                <w:i w:val="0"/>
                <w:color w:val="000000"/>
                <w:sz w:val="32"/>
                <w:szCs w:val="32"/>
                <w:highlight w:val="none"/>
                <w:u w:val="none"/>
              </w:rPr>
            </w:pPr>
          </w:p>
        </w:tc>
      </w:tr>
    </w:tbl>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before="0" w:after="0" w:line="560" w:lineRule="exact"/>
        <w:ind w:left="0" w:leftChars="0" w:firstLine="643" w:firstLineChars="0"/>
        <w:jc w:val="both"/>
        <w:textAlignment w:val="auto"/>
        <w:outlineLvl w:val="0"/>
        <w:rPr>
          <w:rFonts w:hint="eastAsia" w:ascii="楷体" w:hAnsi="楷体" w:eastAsia="楷体" w:cs="楷体"/>
          <w:b/>
          <w:bCs w:val="0"/>
          <w:color w:val="auto"/>
          <w:sz w:val="32"/>
          <w:szCs w:val="32"/>
          <w:highlight w:val="none"/>
        </w:rPr>
      </w:pPr>
      <w:bookmarkStart w:id="18" w:name="_Toc30697"/>
      <w:bookmarkStart w:id="19" w:name="_Toc406668030"/>
      <w:bookmarkStart w:id="20" w:name="_Toc30325"/>
      <w:bookmarkStart w:id="21" w:name="_Toc16351"/>
      <w:bookmarkStart w:id="22" w:name="_Toc21670"/>
      <w:bookmarkStart w:id="23" w:name="_Toc30408"/>
      <w:bookmarkStart w:id="24" w:name="_Toc24106"/>
      <w:bookmarkStart w:id="25" w:name="_Toc11692"/>
      <w:bookmarkStart w:id="26" w:name="_Toc1"/>
      <w:bookmarkStart w:id="27" w:name="_Toc361304680"/>
      <w:bookmarkStart w:id="28" w:name="_Toc13565"/>
      <w:bookmarkStart w:id="29" w:name="_Toc10057"/>
      <w:bookmarkStart w:id="30" w:name="_Toc7664"/>
      <w:bookmarkStart w:id="31" w:name="_Toc406666356"/>
      <w:bookmarkStart w:id="32" w:name="_Toc4170"/>
      <w:r>
        <w:rPr>
          <w:rFonts w:hint="eastAsia" w:ascii="楷体" w:hAnsi="楷体" w:eastAsia="楷体" w:cs="楷体"/>
          <w:b/>
          <w:bCs w:val="0"/>
          <w:color w:val="auto"/>
          <w:sz w:val="32"/>
          <w:szCs w:val="32"/>
          <w:highlight w:val="none"/>
        </w:rPr>
        <w:t>绩效指标完成情况分析</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3"/>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left="0" w:leftChars="0" w:firstLine="642" w:firstLineChars="200"/>
        <w:jc w:val="both"/>
        <w:textAlignment w:val="auto"/>
        <w:outlineLvl w:val="1"/>
        <w:rPr>
          <w:rFonts w:hint="eastAsia" w:ascii="楷体" w:hAnsi="楷体" w:eastAsia="楷体" w:cs="楷体"/>
          <w:b/>
          <w:bCs/>
          <w:color w:val="auto"/>
          <w:sz w:val="32"/>
          <w:szCs w:val="32"/>
          <w:highlight w:val="none"/>
          <w:lang w:val="en-US" w:eastAsia="zh-CN"/>
        </w:rPr>
      </w:pPr>
      <w:bookmarkStart w:id="33" w:name="_Toc8538"/>
      <w:bookmarkStart w:id="34" w:name="_Toc29173"/>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项目</w:t>
      </w:r>
      <w:r>
        <w:rPr>
          <w:rFonts w:hint="eastAsia" w:ascii="楷体" w:hAnsi="楷体" w:eastAsia="楷体" w:cs="楷体"/>
          <w:b/>
          <w:bCs/>
          <w:color w:val="auto"/>
          <w:sz w:val="32"/>
          <w:szCs w:val="32"/>
          <w:highlight w:val="none"/>
          <w:lang w:val="en-US" w:eastAsia="zh-CN"/>
        </w:rPr>
        <w:t>决策</w:t>
      </w:r>
      <w:r>
        <w:rPr>
          <w:rFonts w:hint="eastAsia" w:ascii="楷体" w:hAnsi="楷体" w:eastAsia="楷体" w:cs="楷体"/>
          <w:b/>
          <w:bCs/>
          <w:color w:val="auto"/>
          <w:sz w:val="32"/>
          <w:szCs w:val="32"/>
          <w:highlight w:val="none"/>
        </w:rPr>
        <w:t>指标完成情况分析</w:t>
      </w:r>
      <w:bookmarkEnd w:id="33"/>
      <w:bookmarkEnd w:id="34"/>
    </w:p>
    <w:p>
      <w:pPr>
        <w:pageBreakBefore w:val="0"/>
        <w:kinsoku/>
        <w:wordWrap/>
        <w:overflowPunct/>
        <w:topLinePunct w:val="0"/>
        <w:autoSpaceDE/>
        <w:autoSpaceDN/>
        <w:bidi w:val="0"/>
        <w:spacing w:line="560" w:lineRule="exact"/>
        <w:ind w:leftChars="0" w:firstLine="640" w:firstLineChars="200"/>
        <w:jc w:val="left"/>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color w:val="auto"/>
          <w:sz w:val="32"/>
          <w:szCs w:val="32"/>
          <w:highlight w:val="none"/>
        </w:rPr>
        <w:t>综合评价：项目</w:t>
      </w:r>
      <w:r>
        <w:rPr>
          <w:rFonts w:hint="eastAsia" w:ascii="仿宋" w:hAnsi="仿宋" w:eastAsia="仿宋" w:cs="仿宋"/>
          <w:b w:val="0"/>
          <w:bCs/>
          <w:color w:val="auto"/>
          <w:sz w:val="32"/>
          <w:szCs w:val="32"/>
          <w:highlight w:val="none"/>
          <w:lang w:val="en-US" w:eastAsia="zh-CN"/>
        </w:rPr>
        <w:t>决策</w:t>
      </w:r>
      <w:r>
        <w:rPr>
          <w:rFonts w:hint="eastAsia" w:ascii="仿宋" w:hAnsi="仿宋" w:eastAsia="仿宋" w:cs="仿宋"/>
          <w:b w:val="0"/>
          <w:bCs/>
          <w:color w:val="auto"/>
          <w:sz w:val="32"/>
          <w:szCs w:val="32"/>
          <w:highlight w:val="none"/>
        </w:rPr>
        <w:t>指标完成</w:t>
      </w:r>
      <w:r>
        <w:rPr>
          <w:rFonts w:hint="eastAsia" w:ascii="仿宋" w:hAnsi="仿宋" w:eastAsia="仿宋" w:cs="仿宋"/>
          <w:b w:val="0"/>
          <w:bCs/>
          <w:color w:val="auto"/>
          <w:sz w:val="32"/>
          <w:szCs w:val="32"/>
          <w:highlight w:val="none"/>
          <w:lang w:val="en-US" w:eastAsia="zh-CN"/>
        </w:rPr>
        <w:t>情况优秀，权重分值20分,评价得分19分。</w:t>
      </w:r>
      <w:r>
        <w:rPr>
          <w:rFonts w:hint="eastAsia" w:ascii="仿宋" w:hAnsi="仿宋" w:eastAsia="仿宋"/>
          <w:sz w:val="32"/>
          <w:szCs w:val="24"/>
          <w:highlight w:val="none"/>
        </w:rPr>
        <w:t>项目立项依据充分，符合国家法律法规、国民经济发展规划和</w:t>
      </w:r>
      <w:r>
        <w:rPr>
          <w:rFonts w:hint="eastAsia" w:ascii="仿宋" w:hAnsi="仿宋" w:eastAsia="仿宋" w:cs="仿宋"/>
          <w:color w:val="auto"/>
          <w:kern w:val="2"/>
          <w:sz w:val="32"/>
          <w:szCs w:val="32"/>
          <w:highlight w:val="none"/>
          <w:lang w:val="en-US" w:eastAsia="zh-CN" w:bidi="ar-SA"/>
        </w:rPr>
        <w:t>《重点流域水污染防治“十三五”规划》中规定的改善水生态环境质量，推进美丽河湖保护与建设</w:t>
      </w:r>
      <w:r>
        <w:rPr>
          <w:rFonts w:hint="default" w:ascii="仿宋" w:hAnsi="仿宋" w:eastAsia="仿宋" w:cs="仿宋"/>
          <w:sz w:val="32"/>
          <w:szCs w:val="32"/>
          <w:highlight w:val="none"/>
          <w:lang w:val="en-US" w:eastAsia="zh-CN"/>
        </w:rPr>
        <w:t>要求，</w:t>
      </w:r>
      <w:r>
        <w:rPr>
          <w:rFonts w:hint="eastAsia" w:ascii="仿宋" w:hAnsi="仿宋" w:eastAsia="仿宋" w:cs="仿宋"/>
          <w:sz w:val="32"/>
          <w:szCs w:val="32"/>
          <w:highlight w:val="none"/>
          <w:lang w:val="en-US" w:eastAsia="zh-CN"/>
        </w:rPr>
        <w:t>属</w:t>
      </w:r>
      <w:r>
        <w:rPr>
          <w:rFonts w:hint="eastAsia" w:ascii="仿宋" w:hAnsi="仿宋" w:eastAsia="仿宋"/>
          <w:sz w:val="32"/>
          <w:szCs w:val="24"/>
          <w:highlight w:val="none"/>
        </w:rPr>
        <w:t>于公共财政支持范围，项目与部门内部相关项目不存在重复现象，与</w:t>
      </w:r>
      <w:r>
        <w:rPr>
          <w:rFonts w:hint="eastAsia" w:ascii="仿宋" w:hAnsi="仿宋" w:eastAsia="仿宋"/>
          <w:sz w:val="32"/>
          <w:szCs w:val="24"/>
          <w:highlight w:val="none"/>
          <w:lang w:val="en-US" w:eastAsia="zh-CN"/>
        </w:rPr>
        <w:t>环境</w:t>
      </w:r>
      <w:r>
        <w:rPr>
          <w:rFonts w:hint="eastAsia" w:ascii="仿宋" w:hAnsi="仿宋" w:eastAsia="仿宋"/>
          <w:sz w:val="32"/>
          <w:szCs w:val="24"/>
          <w:highlight w:val="none"/>
        </w:rPr>
        <w:t>部门职能相符；立项程序按照规定程序申报设立，审批文件、材料符合相关要求，项目进行了可行性研究；预算绩效目标合理，符合正常的业绩水平，预算内容与项目内容相互匹配；项目绩效目标细化分解为具体的绩效指标</w:t>
      </w:r>
      <w:r>
        <w:rPr>
          <w:rFonts w:hint="eastAsia" w:ascii="仿宋" w:hAnsi="仿宋" w:eastAsia="仿宋"/>
          <w:sz w:val="32"/>
          <w:szCs w:val="24"/>
          <w:highlight w:val="none"/>
          <w:lang w:eastAsia="zh-CN"/>
        </w:rPr>
        <w:t>，</w:t>
      </w:r>
      <w:r>
        <w:rPr>
          <w:rFonts w:hint="eastAsia" w:ascii="仿宋" w:hAnsi="仿宋" w:eastAsia="仿宋"/>
          <w:sz w:val="32"/>
          <w:szCs w:val="24"/>
          <w:highlight w:val="none"/>
        </w:rPr>
        <w:t>通过清晰、细化、可衡量的指标值予以体现</w:t>
      </w:r>
      <w:r>
        <w:rPr>
          <w:rFonts w:hint="eastAsia" w:ascii="仿宋" w:hAnsi="仿宋" w:eastAsia="仿宋"/>
          <w:sz w:val="32"/>
          <w:szCs w:val="24"/>
          <w:highlight w:val="none"/>
          <w:lang w:eastAsia="zh-CN"/>
        </w:rPr>
        <w:t>，</w:t>
      </w:r>
      <w:r>
        <w:rPr>
          <w:rFonts w:hint="eastAsia" w:ascii="仿宋" w:hAnsi="仿宋" w:eastAsia="仿宋"/>
          <w:sz w:val="32"/>
          <w:szCs w:val="24"/>
          <w:highlight w:val="none"/>
        </w:rPr>
        <w:t>与项目目标任务数相对应；</w:t>
      </w:r>
      <w:r>
        <w:rPr>
          <w:rFonts w:hint="eastAsia" w:ascii="仿宋" w:hAnsi="仿宋" w:eastAsia="仿宋"/>
          <w:color w:val="auto"/>
          <w:sz w:val="32"/>
          <w:szCs w:val="24"/>
          <w:highlight w:val="none"/>
        </w:rPr>
        <w:t>预算编制</w:t>
      </w:r>
      <w:r>
        <w:rPr>
          <w:rFonts w:hint="eastAsia" w:ascii="仿宋" w:hAnsi="仿宋" w:eastAsia="仿宋"/>
          <w:color w:val="auto"/>
          <w:sz w:val="32"/>
          <w:szCs w:val="24"/>
          <w:highlight w:val="none"/>
          <w:lang w:val="en-US" w:eastAsia="zh-CN"/>
        </w:rPr>
        <w:t>经过了相关论证，</w:t>
      </w:r>
      <w:r>
        <w:rPr>
          <w:rFonts w:hint="eastAsia" w:ascii="仿宋" w:hAnsi="仿宋" w:eastAsia="仿宋"/>
          <w:color w:val="auto"/>
          <w:sz w:val="32"/>
          <w:szCs w:val="24"/>
          <w:highlight w:val="none"/>
        </w:rPr>
        <w:t>预算额度测算</w:t>
      </w:r>
      <w:r>
        <w:rPr>
          <w:rFonts w:hint="eastAsia" w:ascii="仿宋" w:hAnsi="仿宋" w:eastAsia="仿宋"/>
          <w:color w:val="auto"/>
          <w:sz w:val="32"/>
          <w:szCs w:val="24"/>
          <w:highlight w:val="none"/>
          <w:lang w:val="en-US" w:eastAsia="zh-CN"/>
        </w:rPr>
        <w:t>有</w:t>
      </w:r>
      <w:r>
        <w:rPr>
          <w:rFonts w:hint="eastAsia" w:ascii="仿宋" w:hAnsi="仿宋" w:eastAsia="仿宋"/>
          <w:color w:val="auto"/>
          <w:sz w:val="32"/>
          <w:szCs w:val="24"/>
          <w:highlight w:val="none"/>
        </w:rPr>
        <w:t>依据。</w:t>
      </w:r>
      <w:r>
        <w:rPr>
          <w:rFonts w:hint="eastAsia" w:ascii="仿宋" w:hAnsi="仿宋" w:eastAsia="仿宋"/>
          <w:color w:val="auto"/>
          <w:sz w:val="32"/>
          <w:szCs w:val="24"/>
          <w:highlight w:val="none"/>
          <w:lang w:val="en-US" w:eastAsia="zh-CN"/>
        </w:rPr>
        <w:t>项目概（</w:t>
      </w:r>
      <w:r>
        <w:rPr>
          <w:rFonts w:hint="eastAsia" w:ascii="仿宋" w:hAnsi="仿宋" w:eastAsia="仿宋"/>
          <w:color w:val="auto"/>
          <w:sz w:val="32"/>
          <w:szCs w:val="24"/>
          <w:highlight w:val="none"/>
        </w:rPr>
        <w:t>预</w:t>
      </w:r>
      <w:r>
        <w:rPr>
          <w:rFonts w:hint="eastAsia" w:ascii="仿宋" w:hAnsi="仿宋" w:eastAsia="仿宋"/>
          <w:color w:val="auto"/>
          <w:sz w:val="32"/>
          <w:szCs w:val="24"/>
          <w:highlight w:val="none"/>
          <w:lang w:eastAsia="zh-CN"/>
        </w:rPr>
        <w:t>）</w:t>
      </w:r>
      <w:r>
        <w:rPr>
          <w:rFonts w:hint="eastAsia" w:ascii="仿宋" w:hAnsi="仿宋" w:eastAsia="仿宋"/>
          <w:color w:val="auto"/>
          <w:sz w:val="32"/>
          <w:szCs w:val="24"/>
          <w:highlight w:val="none"/>
        </w:rPr>
        <w:t>算确定的投资额与</w:t>
      </w:r>
      <w:r>
        <w:rPr>
          <w:rFonts w:hint="eastAsia" w:ascii="仿宋" w:hAnsi="仿宋" w:eastAsia="仿宋"/>
          <w:color w:val="auto"/>
          <w:sz w:val="32"/>
          <w:szCs w:val="24"/>
          <w:highlight w:val="none"/>
          <w:lang w:val="en-US" w:eastAsia="zh-CN"/>
        </w:rPr>
        <w:t>审定实际实施工程投资额存在差异，扣1分。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Chars="0" w:firstLine="642" w:firstLineChars="200"/>
        <w:jc w:val="both"/>
        <w:textAlignment w:val="auto"/>
        <w:outlineLvl w:val="1"/>
        <w:rPr>
          <w:rFonts w:hint="eastAsia" w:ascii="楷体" w:hAnsi="楷体" w:eastAsia="楷体" w:cs="楷体"/>
          <w:b/>
          <w:bCs/>
          <w:color w:val="auto"/>
          <w:sz w:val="32"/>
          <w:szCs w:val="32"/>
          <w:highlight w:val="none"/>
          <w:lang w:val="en-US" w:eastAsia="zh-CN"/>
        </w:rPr>
      </w:pPr>
      <w:bookmarkStart w:id="35" w:name="_Toc22805"/>
      <w:r>
        <w:rPr>
          <w:rFonts w:hint="eastAsia" w:ascii="楷体" w:hAnsi="楷体" w:eastAsia="楷体" w:cs="楷体"/>
          <w:b/>
          <w:bCs/>
          <w:color w:val="auto"/>
          <w:sz w:val="32"/>
          <w:szCs w:val="32"/>
          <w:highlight w:val="none"/>
          <w:lang w:val="en-US" w:eastAsia="zh-CN"/>
        </w:rPr>
        <w:t>项目过程指标完成情况分析</w:t>
      </w:r>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综合评价：项目过程指标完成情况</w:t>
      </w:r>
      <w:r>
        <w:rPr>
          <w:rFonts w:hint="eastAsia" w:ascii="仿宋" w:hAnsi="仿宋" w:eastAsia="仿宋" w:cs="仿宋"/>
          <w:b w:val="0"/>
          <w:bCs/>
          <w:color w:val="auto"/>
          <w:sz w:val="32"/>
          <w:szCs w:val="32"/>
          <w:highlight w:val="none"/>
          <w:lang w:val="en-US" w:eastAsia="zh-CN"/>
        </w:rPr>
        <w:t>良好</w:t>
      </w:r>
      <w:r>
        <w:rPr>
          <w:rFonts w:hint="eastAsia" w:ascii="仿宋" w:hAnsi="仿宋" w:eastAsia="仿宋" w:cs="仿宋"/>
          <w:color w:val="auto"/>
          <w:kern w:val="0"/>
          <w:sz w:val="32"/>
          <w:szCs w:val="32"/>
          <w:highlight w:val="none"/>
          <w:lang w:val="en-US" w:eastAsia="zh-CN" w:bidi="ar-SA"/>
        </w:rPr>
        <w:t>，</w:t>
      </w:r>
      <w:r>
        <w:rPr>
          <w:rFonts w:hint="eastAsia" w:ascii="仿宋" w:hAnsi="仿宋" w:eastAsia="仿宋" w:cs="仿宋"/>
          <w:b w:val="0"/>
          <w:bCs/>
          <w:color w:val="auto"/>
          <w:sz w:val="32"/>
          <w:szCs w:val="32"/>
          <w:highlight w:val="none"/>
          <w:lang w:val="en-US" w:eastAsia="zh-CN"/>
        </w:rPr>
        <w:t>权重分值20分,评价得分17分，</w:t>
      </w:r>
      <w:r>
        <w:rPr>
          <w:rFonts w:hint="eastAsia" w:ascii="仿宋" w:hAnsi="仿宋" w:eastAsia="仿宋" w:cs="仿宋"/>
          <w:color w:val="auto"/>
          <w:kern w:val="0"/>
          <w:sz w:val="32"/>
          <w:szCs w:val="32"/>
          <w:highlight w:val="none"/>
          <w:lang w:val="en-US" w:eastAsia="zh-CN" w:bidi="ar-SA"/>
        </w:rPr>
        <w:t>扣3分。项目资金的到位率100%、预算执行率83.16%；</w:t>
      </w:r>
      <w:r>
        <w:rPr>
          <w:rFonts w:hint="eastAsia" w:ascii="仿宋" w:hAnsi="仿宋" w:eastAsia="仿宋"/>
          <w:color w:val="auto"/>
          <w:sz w:val="32"/>
          <w:szCs w:val="24"/>
          <w:highlight w:val="none"/>
          <w:lang w:eastAsia="zh-CN"/>
        </w:rPr>
        <w:t>能够遵守相关法律法规和项目管理规定执行了工程招投标制，</w:t>
      </w:r>
      <w:r>
        <w:rPr>
          <w:rFonts w:hint="eastAsia" w:ascii="仿宋" w:hAnsi="仿宋" w:eastAsia="仿宋"/>
          <w:color w:val="auto"/>
          <w:sz w:val="32"/>
          <w:szCs w:val="24"/>
          <w:highlight w:val="none"/>
        </w:rPr>
        <w:t>项目资金拨付有完整的审批手续</w:t>
      </w:r>
      <w:r>
        <w:rPr>
          <w:rFonts w:hint="eastAsia" w:ascii="仿宋" w:hAnsi="仿宋" w:eastAsia="仿宋"/>
          <w:color w:val="auto"/>
          <w:sz w:val="32"/>
          <w:szCs w:val="24"/>
          <w:highlight w:val="none"/>
          <w:lang w:eastAsia="zh-CN"/>
        </w:rPr>
        <w:t>，</w:t>
      </w:r>
      <w:r>
        <w:rPr>
          <w:rFonts w:hint="eastAsia" w:ascii="仿宋" w:hAnsi="仿宋" w:eastAsia="仿宋" w:cs="仿宋"/>
          <w:color w:val="auto"/>
          <w:kern w:val="0"/>
          <w:sz w:val="32"/>
          <w:szCs w:val="32"/>
          <w:highlight w:val="none"/>
          <w:lang w:val="en-US" w:eastAsia="zh-CN" w:bidi="ar-SA"/>
        </w:rPr>
        <w:t>不存在截留、虚列支出等情形；</w:t>
      </w:r>
      <w:r>
        <w:rPr>
          <w:rFonts w:hint="eastAsia" w:ascii="仿宋" w:hAnsi="仿宋" w:eastAsia="仿宋"/>
          <w:color w:val="auto"/>
          <w:sz w:val="32"/>
          <w:szCs w:val="24"/>
          <w:highlight w:val="none"/>
        </w:rPr>
        <w:t>项目实施的人员条件、场地设备、</w:t>
      </w:r>
      <w:r>
        <w:rPr>
          <w:rFonts w:hint="eastAsia" w:ascii="仿宋" w:hAnsi="仿宋" w:eastAsia="仿宋"/>
          <w:color w:val="auto"/>
          <w:sz w:val="32"/>
          <w:szCs w:val="24"/>
          <w:highlight w:val="none"/>
          <w:lang w:val="en-US" w:eastAsia="zh-CN"/>
        </w:rPr>
        <w:t>安全措施</w:t>
      </w:r>
      <w:r>
        <w:rPr>
          <w:rFonts w:hint="eastAsia" w:ascii="仿宋" w:hAnsi="仿宋" w:eastAsia="仿宋"/>
          <w:color w:val="auto"/>
          <w:sz w:val="32"/>
          <w:szCs w:val="24"/>
          <w:highlight w:val="none"/>
        </w:rPr>
        <w:t>落实到位。</w:t>
      </w:r>
      <w:r>
        <w:rPr>
          <w:rFonts w:hint="eastAsia" w:ascii="仿宋" w:hAnsi="仿宋" w:eastAsia="仿宋" w:cs="仿宋"/>
          <w:color w:val="auto"/>
          <w:kern w:val="0"/>
          <w:sz w:val="32"/>
          <w:szCs w:val="32"/>
          <w:highlight w:val="none"/>
          <w:lang w:val="en-US" w:eastAsia="zh-CN" w:bidi="ar-SA"/>
        </w:rPr>
        <w:t>扣分原因为：预算执行率</w:t>
      </w:r>
      <w:r>
        <w:rPr>
          <w:rFonts w:hint="eastAsia" w:ascii="仿宋" w:hAnsi="仿宋" w:eastAsia="仿宋" w:cs="Arial"/>
          <w:b w:val="0"/>
          <w:bCs/>
          <w:caps/>
          <w:color w:val="auto"/>
          <w:sz w:val="32"/>
          <w:szCs w:val="32"/>
          <w:highlight w:val="none"/>
          <w:lang w:val="en-US" w:eastAsia="zh-CN"/>
        </w:rPr>
        <w:t>83.16%</w:t>
      </w:r>
      <w:r>
        <w:rPr>
          <w:rFonts w:hint="eastAsia" w:ascii="仿宋" w:hAnsi="仿宋" w:eastAsia="仿宋" w:cs="仿宋"/>
          <w:color w:val="auto"/>
          <w:kern w:val="0"/>
          <w:sz w:val="32"/>
          <w:szCs w:val="32"/>
          <w:highlight w:val="none"/>
          <w:lang w:val="en-US" w:eastAsia="zh-CN" w:bidi="ar-SA"/>
        </w:rPr>
        <w:t>，按比例扣1分</w:t>
      </w:r>
      <w:r>
        <w:rPr>
          <w:rFonts w:hint="eastAsia" w:ascii="仿宋" w:hAnsi="仿宋" w:eastAsia="仿宋" w:cs="仿宋"/>
          <w:color w:val="auto"/>
          <w:sz w:val="32"/>
          <w:szCs w:val="32"/>
          <w:highlight w:val="none"/>
          <w:lang w:val="en-US" w:eastAsia="zh-CN"/>
        </w:rPr>
        <w:t>；将</w:t>
      </w:r>
      <w:r>
        <w:rPr>
          <w:rFonts w:hint="default" w:ascii="仿宋" w:hAnsi="仿宋" w:eastAsia="仿宋" w:cs="仿宋"/>
          <w:b w:val="0"/>
          <w:bCs w:val="0"/>
          <w:color w:val="auto"/>
          <w:sz w:val="32"/>
          <w:szCs w:val="32"/>
          <w:highlight w:val="none"/>
          <w:lang w:val="en-US" w:eastAsia="zh-CN"/>
        </w:rPr>
        <w:t>斧头湖北洪港河子流域水环境综合治理项目资金</w:t>
      </w:r>
      <w:r>
        <w:rPr>
          <w:rFonts w:hint="eastAsia" w:ascii="仿宋" w:hAnsi="仿宋" w:eastAsia="仿宋" w:cs="仿宋"/>
          <w:b w:val="0"/>
          <w:bCs w:val="0"/>
          <w:color w:val="auto"/>
          <w:sz w:val="32"/>
          <w:szCs w:val="32"/>
          <w:highlight w:val="none"/>
          <w:lang w:val="en-US" w:eastAsia="zh-CN"/>
        </w:rPr>
        <w:t>用于</w:t>
      </w:r>
      <w:r>
        <w:rPr>
          <w:rFonts w:hint="default" w:ascii="仿宋" w:hAnsi="仿宋" w:eastAsia="仿宋" w:cs="仿宋"/>
          <w:b w:val="0"/>
          <w:bCs w:val="0"/>
          <w:color w:val="auto"/>
          <w:sz w:val="32"/>
          <w:szCs w:val="32"/>
          <w:highlight w:val="none"/>
          <w:lang w:val="en-US" w:eastAsia="zh-CN"/>
        </w:rPr>
        <w:t>碧水入湖项目工程款3,094,000.00元</w:t>
      </w:r>
      <w:r>
        <w:rPr>
          <w:rFonts w:hint="eastAsia" w:ascii="仿宋" w:hAnsi="仿宋" w:eastAsia="仿宋" w:cs="仿宋"/>
          <w:b w:val="0"/>
          <w:bCs w:val="0"/>
          <w:color w:val="auto"/>
          <w:sz w:val="32"/>
          <w:szCs w:val="32"/>
          <w:highlight w:val="none"/>
          <w:lang w:val="en-US" w:eastAsia="zh-CN"/>
        </w:rPr>
        <w:t>，不符合</w:t>
      </w:r>
      <w:r>
        <w:rPr>
          <w:rFonts w:hint="default" w:ascii="仿宋" w:hAnsi="仿宋" w:eastAsia="仿宋" w:cs="仿宋"/>
          <w:b w:val="0"/>
          <w:bCs w:val="0"/>
          <w:color w:val="auto"/>
          <w:sz w:val="32"/>
          <w:szCs w:val="32"/>
          <w:highlight w:val="none"/>
          <w:lang w:val="en-US" w:eastAsia="zh-CN"/>
        </w:rPr>
        <w:t>预算批复或合同规定用途</w:t>
      </w:r>
      <w:r>
        <w:rPr>
          <w:rFonts w:hint="eastAsia" w:ascii="仿宋" w:hAnsi="仿宋" w:eastAsia="仿宋" w:cs="仿宋"/>
          <w:b w:val="0"/>
          <w:bCs w:val="0"/>
          <w:color w:val="auto"/>
          <w:sz w:val="32"/>
          <w:szCs w:val="32"/>
          <w:highlight w:val="none"/>
          <w:lang w:val="en-US" w:eastAsia="zh-CN"/>
        </w:rPr>
        <w:t>，扣2分。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jc w:val="both"/>
        <w:textAlignment w:val="auto"/>
        <w:outlineLvl w:val="1"/>
        <w:rPr>
          <w:rFonts w:hint="eastAsia" w:ascii="楷体" w:hAnsi="楷体" w:eastAsia="楷体" w:cs="楷体"/>
          <w:b/>
          <w:bCs/>
          <w:color w:val="auto"/>
          <w:sz w:val="32"/>
          <w:szCs w:val="32"/>
          <w:highlight w:val="none"/>
          <w:lang w:val="en-US" w:eastAsia="zh-CN"/>
        </w:rPr>
      </w:pPr>
      <w:bookmarkStart w:id="36" w:name="_Toc26972"/>
      <w:r>
        <w:rPr>
          <w:rFonts w:hint="eastAsia" w:ascii="楷体" w:hAnsi="楷体" w:eastAsia="楷体" w:cs="楷体"/>
          <w:b/>
          <w:bCs/>
          <w:color w:val="auto"/>
          <w:sz w:val="32"/>
          <w:szCs w:val="32"/>
          <w:highlight w:val="none"/>
          <w:lang w:val="en-US" w:eastAsia="zh-CN"/>
        </w:rPr>
        <w:t>3、项目产出指标完成情况分析</w:t>
      </w:r>
      <w:bookmarkEnd w:id="36"/>
    </w:p>
    <w:p>
      <w:pPr>
        <w:pageBreakBefore w:val="0"/>
        <w:kinsoku/>
        <w:wordWrap/>
        <w:overflowPunct/>
        <w:topLinePunct w:val="0"/>
        <w:autoSpaceDE/>
        <w:autoSpaceDN/>
        <w:bidi w:val="0"/>
        <w:spacing w:line="560" w:lineRule="exact"/>
        <w:ind w:leftChars="0" w:firstLine="640" w:firstLineChars="200"/>
        <w:jc w:val="left"/>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sz w:val="32"/>
          <w:szCs w:val="32"/>
          <w:highlight w:val="none"/>
          <w:lang w:val="en-US" w:eastAsia="zh-CN"/>
        </w:rPr>
        <w:t>综合评价：项目产出指标完成情况良好，</w:t>
      </w:r>
      <w:r>
        <w:rPr>
          <w:rFonts w:hint="eastAsia" w:ascii="仿宋" w:hAnsi="仿宋" w:eastAsia="仿宋" w:cs="仿宋"/>
          <w:b w:val="0"/>
          <w:bCs/>
          <w:color w:val="auto"/>
          <w:sz w:val="32"/>
          <w:szCs w:val="32"/>
          <w:highlight w:val="none"/>
          <w:lang w:val="en-US" w:eastAsia="zh-CN"/>
        </w:rPr>
        <w:t>权重分值35分,评价得分30分，扣5分。</w:t>
      </w:r>
      <w:r>
        <w:rPr>
          <w:rFonts w:hint="eastAsia" w:ascii="仿宋" w:hAnsi="仿宋" w:eastAsia="仿宋" w:cs="仿宋"/>
          <w:bCs/>
          <w:caps/>
          <w:sz w:val="32"/>
          <w:szCs w:val="32"/>
          <w:highlight w:val="none"/>
          <w:lang w:val="en-US" w:eastAsia="zh-CN"/>
        </w:rPr>
        <w:t>北洪港河子流域生态修复工程</w:t>
      </w:r>
      <w:r>
        <w:rPr>
          <w:rFonts w:hint="eastAsia" w:ascii="仿宋" w:hAnsi="仿宋" w:eastAsia="仿宋"/>
          <w:sz w:val="32"/>
          <w:szCs w:val="24"/>
          <w:highlight w:val="none"/>
        </w:rPr>
        <w:t>已全部完成，项目实际</w:t>
      </w:r>
      <w:r>
        <w:rPr>
          <w:rFonts w:hint="eastAsia" w:ascii="仿宋" w:hAnsi="仿宋" w:eastAsia="仿宋"/>
          <w:sz w:val="32"/>
          <w:szCs w:val="24"/>
          <w:highlight w:val="none"/>
          <w:lang w:val="en-US" w:eastAsia="zh-CN"/>
        </w:rPr>
        <w:t>工程量</w:t>
      </w:r>
      <w:r>
        <w:rPr>
          <w:rFonts w:hint="eastAsia" w:ascii="仿宋" w:hAnsi="仿宋" w:eastAsia="仿宋"/>
          <w:sz w:val="32"/>
          <w:szCs w:val="24"/>
          <w:highlight w:val="none"/>
        </w:rPr>
        <w:t>与计划建</w:t>
      </w:r>
      <w:r>
        <w:rPr>
          <w:rFonts w:hint="eastAsia" w:ascii="仿宋" w:hAnsi="仿宋" w:eastAsia="仿宋"/>
          <w:sz w:val="32"/>
          <w:szCs w:val="24"/>
          <w:highlight w:val="none"/>
          <w:lang w:val="en-US" w:eastAsia="zh-CN"/>
        </w:rPr>
        <w:t>工程量基本</w:t>
      </w:r>
      <w:r>
        <w:rPr>
          <w:rFonts w:hint="eastAsia" w:ascii="仿宋" w:hAnsi="仿宋" w:eastAsia="仿宋"/>
          <w:sz w:val="32"/>
          <w:szCs w:val="24"/>
          <w:highlight w:val="none"/>
        </w:rPr>
        <w:t>相符</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中央水污染资金及时支付</w:t>
      </w:r>
      <w:r>
        <w:rPr>
          <w:rFonts w:hint="eastAsia" w:ascii="仿宋" w:hAnsi="仿宋" w:eastAsia="仿宋"/>
          <w:sz w:val="32"/>
          <w:szCs w:val="24"/>
          <w:highlight w:val="none"/>
        </w:rPr>
        <w:t>；项目资金按逐级审批后拨付，项目成本控制基本到位。</w:t>
      </w:r>
      <w:r>
        <w:rPr>
          <w:rFonts w:hint="eastAsia" w:ascii="仿宋" w:hAnsi="仿宋" w:eastAsia="仿宋"/>
          <w:sz w:val="32"/>
          <w:szCs w:val="24"/>
          <w:highlight w:val="none"/>
          <w:lang w:val="en-US" w:eastAsia="zh-CN"/>
        </w:rPr>
        <w:t>生态修复</w:t>
      </w:r>
      <w:r>
        <w:rPr>
          <w:rFonts w:hint="eastAsia" w:ascii="仿宋" w:hAnsi="仿宋" w:eastAsia="仿宋"/>
          <w:sz w:val="32"/>
          <w:szCs w:val="24"/>
          <w:highlight w:val="none"/>
        </w:rPr>
        <w:t>工程</w:t>
      </w:r>
      <w:r>
        <w:rPr>
          <w:rFonts w:hint="eastAsia" w:ascii="仿宋" w:hAnsi="仿宋" w:eastAsia="仿宋" w:cs="仿宋"/>
          <w:color w:val="auto"/>
          <w:kern w:val="2"/>
          <w:sz w:val="32"/>
          <w:szCs w:val="32"/>
          <w:highlight w:val="none"/>
          <w:lang w:val="en-US" w:eastAsia="zh-CN" w:bidi="ar-SA"/>
        </w:rPr>
        <w:t>新建了河道两岸生态护坡工程，长7.5Km，面积62000m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；河道内建沉水植物约92560m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；河道内建挺水植物约27300m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sz w:val="32"/>
          <w:szCs w:val="24"/>
          <w:highlight w:val="none"/>
        </w:rPr>
        <w:t>项目于202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w:t>
      </w:r>
      <w:r>
        <w:rPr>
          <w:rFonts w:hint="eastAsia" w:ascii="仿宋" w:hAnsi="仿宋" w:eastAsia="仿宋"/>
          <w:sz w:val="32"/>
          <w:szCs w:val="24"/>
          <w:highlight w:val="none"/>
          <w:lang w:val="en-US" w:eastAsia="zh-CN"/>
        </w:rPr>
        <w:t>3月15</w:t>
      </w:r>
      <w:r>
        <w:rPr>
          <w:rFonts w:hint="eastAsia" w:ascii="仿宋" w:hAnsi="仿宋" w:eastAsia="仿宋"/>
          <w:sz w:val="32"/>
          <w:szCs w:val="24"/>
          <w:highlight w:val="none"/>
        </w:rPr>
        <w:t>日</w:t>
      </w:r>
      <w:r>
        <w:rPr>
          <w:rFonts w:hint="eastAsia" w:ascii="仿宋" w:hAnsi="仿宋" w:eastAsia="仿宋"/>
          <w:sz w:val="32"/>
          <w:szCs w:val="24"/>
          <w:highlight w:val="none"/>
          <w:lang w:val="en-US" w:eastAsia="zh-CN"/>
        </w:rPr>
        <w:t>开</w:t>
      </w:r>
      <w:r>
        <w:rPr>
          <w:rFonts w:hint="eastAsia" w:ascii="仿宋" w:hAnsi="仿宋" w:eastAsia="仿宋"/>
          <w:sz w:val="32"/>
          <w:szCs w:val="24"/>
          <w:highlight w:val="none"/>
        </w:rPr>
        <w:t>工，于202</w:t>
      </w:r>
      <w:r>
        <w:rPr>
          <w:rFonts w:hint="eastAsia" w:ascii="仿宋" w:hAnsi="仿宋" w:eastAsia="仿宋"/>
          <w:sz w:val="32"/>
          <w:szCs w:val="24"/>
          <w:highlight w:val="none"/>
          <w:lang w:val="en-US" w:eastAsia="zh-CN"/>
        </w:rPr>
        <w:t>3</w:t>
      </w:r>
      <w:r>
        <w:rPr>
          <w:rFonts w:hint="eastAsia" w:ascii="仿宋" w:hAnsi="仿宋" w:eastAsia="仿宋"/>
          <w:sz w:val="32"/>
          <w:szCs w:val="24"/>
          <w:highlight w:val="none"/>
        </w:rPr>
        <w:t>年</w:t>
      </w:r>
      <w:r>
        <w:rPr>
          <w:rFonts w:hint="eastAsia" w:ascii="仿宋" w:hAnsi="仿宋" w:eastAsia="仿宋"/>
          <w:sz w:val="32"/>
          <w:szCs w:val="24"/>
          <w:highlight w:val="none"/>
          <w:lang w:val="en-US" w:eastAsia="zh-CN"/>
        </w:rPr>
        <w:t>5</w:t>
      </w:r>
      <w:r>
        <w:rPr>
          <w:rFonts w:hint="eastAsia" w:ascii="仿宋" w:hAnsi="仿宋" w:eastAsia="仿宋"/>
          <w:sz w:val="32"/>
          <w:szCs w:val="24"/>
          <w:highlight w:val="none"/>
        </w:rPr>
        <w:t>月</w:t>
      </w:r>
      <w:r>
        <w:rPr>
          <w:rFonts w:hint="eastAsia" w:ascii="仿宋" w:hAnsi="仿宋" w:eastAsia="仿宋"/>
          <w:sz w:val="32"/>
          <w:szCs w:val="24"/>
          <w:highlight w:val="none"/>
          <w:lang w:val="en-US" w:eastAsia="zh-CN"/>
        </w:rPr>
        <w:t>竣工验收</w:t>
      </w:r>
      <w:r>
        <w:rPr>
          <w:rFonts w:hint="eastAsia" w:ascii="仿宋" w:hAnsi="仿宋" w:eastAsia="仿宋"/>
          <w:sz w:val="32"/>
          <w:szCs w:val="24"/>
          <w:highlight w:val="none"/>
        </w:rPr>
        <w:t>，</w:t>
      </w:r>
      <w:r>
        <w:rPr>
          <w:rFonts w:hint="eastAsia" w:ascii="仿宋" w:hAnsi="仿宋" w:eastAsia="仿宋" w:cs="仿宋"/>
          <w:sz w:val="32"/>
          <w:szCs w:val="32"/>
          <w:highlight w:val="none"/>
          <w:lang w:val="en-US" w:eastAsia="zh-CN"/>
        </w:rPr>
        <w:t>工程质量符合工程建设强制性标准和设计文件要求，工期延迟65天，扣5分</w:t>
      </w:r>
      <w:r>
        <w:rPr>
          <w:rFonts w:hint="eastAsia" w:ascii="仿宋" w:hAnsi="仿宋" w:eastAsia="仿宋"/>
          <w:sz w:val="32"/>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jc w:val="both"/>
        <w:textAlignment w:val="auto"/>
        <w:outlineLvl w:val="1"/>
        <w:rPr>
          <w:rFonts w:hint="eastAsia" w:ascii="楷体" w:hAnsi="楷体" w:eastAsia="楷体" w:cs="楷体"/>
          <w:b/>
          <w:bCs/>
          <w:color w:val="auto"/>
          <w:sz w:val="32"/>
          <w:szCs w:val="32"/>
          <w:highlight w:val="none"/>
          <w:lang w:val="en-US" w:eastAsia="zh-CN"/>
        </w:rPr>
      </w:pPr>
      <w:bookmarkStart w:id="37" w:name="_Toc18512"/>
      <w:r>
        <w:rPr>
          <w:rFonts w:hint="eastAsia" w:ascii="楷体" w:hAnsi="楷体" w:eastAsia="楷体" w:cs="楷体"/>
          <w:b/>
          <w:bCs/>
          <w:color w:val="auto"/>
          <w:sz w:val="32"/>
          <w:szCs w:val="32"/>
          <w:highlight w:val="none"/>
          <w:lang w:val="en-US" w:eastAsia="zh-CN"/>
        </w:rPr>
        <w:t>4、项目效果指标完成情况分析</w:t>
      </w:r>
      <w:bookmarkEnd w:id="37"/>
    </w:p>
    <w:p>
      <w:pPr>
        <w:pStyle w:val="3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rPr>
        <w:t>综合评价：</w:t>
      </w:r>
      <w:r>
        <w:rPr>
          <w:rFonts w:hint="eastAsia" w:ascii="仿宋" w:hAnsi="仿宋" w:eastAsia="仿宋" w:cs="仿宋"/>
          <w:b w:val="0"/>
          <w:bCs w:val="0"/>
          <w:color w:val="auto"/>
          <w:sz w:val="32"/>
          <w:szCs w:val="32"/>
          <w:highlight w:val="none"/>
          <w:lang w:val="en-US" w:eastAsia="zh-CN"/>
        </w:rPr>
        <w:t>项目效果指标完成情况良好，</w:t>
      </w:r>
      <w:r>
        <w:rPr>
          <w:rFonts w:hint="eastAsia" w:ascii="仿宋" w:hAnsi="仿宋" w:eastAsia="仿宋" w:cs="仿宋"/>
          <w:b w:val="0"/>
          <w:bCs/>
          <w:color w:val="auto"/>
          <w:sz w:val="32"/>
          <w:szCs w:val="32"/>
          <w:highlight w:val="none"/>
          <w:lang w:val="en-US" w:eastAsia="zh-CN"/>
        </w:rPr>
        <w:t>权重分值25分,评价得分23分，</w:t>
      </w:r>
      <w:r>
        <w:rPr>
          <w:rFonts w:hint="eastAsia" w:ascii="仿宋" w:hAnsi="仿宋" w:eastAsia="仿宋" w:cs="仿宋"/>
          <w:b w:val="0"/>
          <w:bCs w:val="0"/>
          <w:color w:val="auto"/>
          <w:sz w:val="32"/>
          <w:szCs w:val="32"/>
          <w:highlight w:val="none"/>
          <w:lang w:val="en-US" w:eastAsia="zh-CN"/>
        </w:rPr>
        <w:t>扣2分。斧头湖</w:t>
      </w:r>
      <w:r>
        <w:rPr>
          <w:rFonts w:hint="eastAsia" w:ascii="仿宋" w:hAnsi="仿宋" w:eastAsia="仿宋" w:cs="仿宋"/>
          <w:color w:val="auto"/>
          <w:kern w:val="2"/>
          <w:sz w:val="32"/>
          <w:szCs w:val="32"/>
          <w:highlight w:val="none"/>
          <w:lang w:val="en-US" w:eastAsia="zh-CN" w:bidi="ar-SA"/>
        </w:rPr>
        <w:t>北洪港河子流域生态修复</w:t>
      </w:r>
      <w:r>
        <w:rPr>
          <w:rFonts w:hint="eastAsia" w:ascii="仿宋" w:hAnsi="仿宋" w:eastAsia="仿宋" w:cs="仿宋"/>
          <w:color w:val="auto"/>
          <w:sz w:val="32"/>
          <w:szCs w:val="32"/>
          <w:highlight w:val="none"/>
          <w:lang w:val="en-US" w:eastAsia="zh-CN"/>
        </w:rPr>
        <w:t>工程完成后，该区域水污染得到治理，水质稳中向好，空气清新；实施护坡工程和种植挺水植物，丰富流域内景观元素，使人们的生活活动与环境更有机结合，改善了周边居民生活环境。</w:t>
      </w:r>
      <w:r>
        <w:rPr>
          <w:rFonts w:hint="eastAsia" w:ascii="仿宋_GB2312" w:hAnsi="仿宋" w:eastAsia="仿宋_GB2312" w:cs="Times New Roman"/>
          <w:sz w:val="32"/>
          <w:szCs w:val="32"/>
          <w:highlight w:val="none"/>
          <w:lang w:val="en-US" w:eastAsia="zh-CN" w:bidi="ar-SA"/>
        </w:rPr>
        <w:t>该项目在2023年5月19日竣工验收后，运维服务由中铁十一局集团西安建设有限公司承接，后期运维管护制度健全，责任主体明确，生态环境长期效用有保障。</w:t>
      </w:r>
      <w:r>
        <w:rPr>
          <w:rFonts w:hint="eastAsia" w:ascii="仿宋" w:hAnsi="仿宋" w:eastAsia="仿宋" w:cs="仿宋"/>
          <w:color w:val="auto"/>
          <w:kern w:val="2"/>
          <w:sz w:val="32"/>
          <w:szCs w:val="32"/>
          <w:highlight w:val="none"/>
          <w:lang w:val="en-US" w:eastAsia="zh-CN" w:bidi="ar-SA"/>
        </w:rPr>
        <w:t>北洪港河子流域生态修复</w:t>
      </w:r>
      <w:r>
        <w:rPr>
          <w:rFonts w:hint="eastAsia" w:ascii="仿宋" w:hAnsi="仿宋" w:eastAsia="仿宋" w:cs="仿宋"/>
          <w:color w:val="auto"/>
          <w:sz w:val="32"/>
          <w:szCs w:val="32"/>
          <w:highlight w:val="none"/>
          <w:lang w:val="en-US" w:eastAsia="zh-CN"/>
        </w:rPr>
        <w:t>工程完成</w:t>
      </w:r>
      <w:r>
        <w:rPr>
          <w:rFonts w:hint="eastAsia" w:ascii="仿宋" w:hAnsi="仿宋" w:eastAsia="仿宋"/>
          <w:sz w:val="32"/>
          <w:szCs w:val="24"/>
          <w:highlight w:val="none"/>
        </w:rPr>
        <w:t>后得到了</w:t>
      </w:r>
      <w:r>
        <w:rPr>
          <w:rFonts w:hint="eastAsia" w:ascii="仿宋" w:hAnsi="仿宋" w:eastAsia="仿宋"/>
          <w:sz w:val="32"/>
          <w:szCs w:val="24"/>
          <w:highlight w:val="none"/>
          <w:lang w:val="en-US" w:eastAsia="zh-CN"/>
        </w:rPr>
        <w:t>流域内居民</w:t>
      </w:r>
      <w:r>
        <w:rPr>
          <w:rFonts w:hint="eastAsia" w:ascii="仿宋" w:hAnsi="仿宋" w:eastAsia="仿宋"/>
          <w:sz w:val="32"/>
          <w:szCs w:val="24"/>
          <w:highlight w:val="none"/>
        </w:rPr>
        <w:t>的认可，满意度达到</w:t>
      </w:r>
      <w:r>
        <w:rPr>
          <w:rFonts w:hint="eastAsia" w:ascii="仿宋" w:hAnsi="仿宋" w:eastAsia="仿宋"/>
          <w:sz w:val="32"/>
          <w:szCs w:val="24"/>
          <w:highlight w:val="none"/>
          <w:lang w:val="en-US" w:eastAsia="zh-CN"/>
        </w:rPr>
        <w:t>了88.71</w:t>
      </w:r>
      <w:r>
        <w:rPr>
          <w:rFonts w:hint="eastAsia" w:ascii="仿宋" w:hAnsi="仿宋" w:eastAsia="仿宋"/>
          <w:sz w:val="32"/>
          <w:szCs w:val="24"/>
          <w:highlight w:val="none"/>
        </w:rPr>
        <w:t>%</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outlineLvl w:val="0"/>
        <w:rPr>
          <w:rFonts w:hint="eastAsia" w:ascii="楷体" w:hAnsi="楷体" w:eastAsia="楷体" w:cs="楷体"/>
          <w:b/>
          <w:bCs/>
          <w:kern w:val="2"/>
          <w:sz w:val="32"/>
          <w:szCs w:val="32"/>
          <w:highlight w:val="none"/>
          <w:lang w:val="en-US" w:eastAsia="zh-CN" w:bidi="ar-SA"/>
        </w:rPr>
      </w:pPr>
      <w:bookmarkStart w:id="38" w:name="_Toc24237"/>
      <w:bookmarkStart w:id="39" w:name="_Toc5325"/>
      <w:bookmarkStart w:id="40" w:name="_Toc8181"/>
      <w:bookmarkStart w:id="41" w:name="_Toc6537"/>
      <w:bookmarkStart w:id="42" w:name="_Toc8605"/>
      <w:r>
        <w:rPr>
          <w:rFonts w:hint="eastAsia" w:ascii="楷体" w:hAnsi="楷体" w:eastAsia="楷体" w:cs="楷体"/>
          <w:b/>
          <w:bCs/>
          <w:kern w:val="2"/>
          <w:sz w:val="32"/>
          <w:szCs w:val="32"/>
          <w:highlight w:val="none"/>
          <w:lang w:val="en-US" w:eastAsia="zh-CN" w:bidi="ar-SA"/>
        </w:rPr>
        <w:t>（三）存在的问题和原因</w:t>
      </w:r>
      <w:bookmarkEnd w:id="38"/>
      <w:bookmarkEnd w:id="39"/>
      <w:bookmarkEnd w:id="40"/>
      <w:bookmarkEnd w:id="41"/>
      <w:bookmarkEnd w:id="42"/>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1、预算编制不够科学</w:t>
      </w:r>
    </w:p>
    <w:p>
      <w:pPr>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北洪港河子流域综合治理项目（一期）总投资13,721,927.52元，与批准概（预）算总投资27,674,139.53元</w:t>
      </w:r>
      <w:r>
        <w:rPr>
          <w:rFonts w:hint="eastAsia" w:ascii="仿宋" w:hAnsi="仿宋" w:eastAsia="仿宋" w:cs="仿宋"/>
          <w:b w:val="0"/>
          <w:bCs w:val="0"/>
          <w:color w:val="auto"/>
          <w:sz w:val="32"/>
          <w:szCs w:val="32"/>
          <w:highlight w:val="none"/>
          <w:lang w:val="en-US" w:eastAsia="zh-CN"/>
        </w:rPr>
        <w:t>对</w:t>
      </w:r>
      <w:r>
        <w:rPr>
          <w:rFonts w:hint="default" w:ascii="仿宋" w:hAnsi="仿宋" w:eastAsia="仿宋" w:cs="仿宋"/>
          <w:b w:val="0"/>
          <w:bCs w:val="0"/>
          <w:color w:val="auto"/>
          <w:sz w:val="32"/>
          <w:szCs w:val="32"/>
          <w:highlight w:val="none"/>
          <w:lang w:val="en-US" w:eastAsia="zh-CN"/>
        </w:rPr>
        <w:t>比，减少投资13,952,212.01元，减少比例50.42%。主要是设计不准确，概算超实际较大，部分项目费用未发生。</w:t>
      </w:r>
    </w:p>
    <w:p>
      <w:pPr>
        <w:pageBreakBefore w:val="0"/>
        <w:numPr>
          <w:ilvl w:val="0"/>
          <w:numId w:val="0"/>
        </w:numPr>
        <w:kinsoku/>
        <w:wordWrap/>
        <w:overflowPunct/>
        <w:topLinePunct w:val="0"/>
        <w:autoSpaceDE/>
        <w:autoSpaceDN/>
        <w:bidi w:val="0"/>
        <w:adjustRightInd/>
        <w:snapToGrid/>
        <w:spacing w:line="560" w:lineRule="exact"/>
        <w:ind w:leftChars="0" w:firstLine="642" w:firstLineChars="200"/>
        <w:jc w:val="left"/>
        <w:textAlignment w:val="auto"/>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2、项目完成不及时</w:t>
      </w:r>
      <w:bookmarkStart w:id="43" w:name="_Toc22081"/>
      <w:r>
        <w:rPr>
          <w:rFonts w:hint="eastAsia" w:ascii="楷体" w:hAnsi="楷体" w:eastAsia="楷体" w:cs="楷体"/>
          <w:b/>
          <w:bCs/>
          <w:color w:val="000000"/>
          <w:kern w:val="0"/>
          <w:sz w:val="32"/>
          <w:szCs w:val="32"/>
          <w:highlight w:val="none"/>
          <w:lang w:val="en-US" w:eastAsia="zh-CN" w:bidi="ar"/>
        </w:rPr>
        <w:t xml:space="preserve"> </w:t>
      </w:r>
      <w:bookmarkEnd w:id="43"/>
    </w:p>
    <w:p>
      <w:pPr>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该项目2022年3月15号开工，2023年5月3日完工，2023年5月19日取得竣工验收报告，已超出合同约定工期两个月。</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3、部分资金使用不合规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lang w:val="en-US" w:eastAsia="zh-CN"/>
        </w:rPr>
      </w:pPr>
      <w:r>
        <w:rPr>
          <w:rFonts w:hint="eastAsia" w:ascii="仿宋" w:hAnsi="仿宋" w:eastAsia="仿宋" w:cs="仿宋"/>
          <w:color w:val="auto"/>
          <w:kern w:val="2"/>
          <w:sz w:val="32"/>
          <w:szCs w:val="32"/>
          <w:highlight w:val="none"/>
          <w:lang w:val="en-US" w:eastAsia="zh-CN" w:bidi="ar-SA"/>
        </w:rPr>
        <w:t>咸宁市生态环境局咸安区分局</w:t>
      </w:r>
      <w:r>
        <w:rPr>
          <w:rFonts w:hint="default" w:ascii="仿宋" w:hAnsi="仿宋" w:eastAsia="仿宋" w:cs="仿宋"/>
          <w:b w:val="0"/>
          <w:bCs w:val="0"/>
          <w:color w:val="auto"/>
          <w:sz w:val="32"/>
          <w:szCs w:val="32"/>
          <w:highlight w:val="none"/>
          <w:lang w:val="en-US" w:eastAsia="zh-CN"/>
        </w:rPr>
        <w:t>分别于2020年8月18日、2022年1月29日将斧头湖北洪港河子流域水环境综合治理项目资金拨付给湖北迈威环境工程有限公司（碧水入湖项目工程款）734,000.00元、2,360,000.00元,合计3,094,000.00元</w:t>
      </w:r>
      <w:r>
        <w:rPr>
          <w:rFonts w:hint="eastAsia" w:ascii="仿宋" w:hAnsi="仿宋" w:eastAsia="仿宋" w:cs="仿宋"/>
          <w:b w:val="0"/>
          <w:bCs w:val="0"/>
          <w:color w:val="auto"/>
          <w:sz w:val="32"/>
          <w:szCs w:val="32"/>
          <w:highlight w:val="none"/>
          <w:lang w:val="en-US" w:eastAsia="zh-CN"/>
        </w:rPr>
        <w:t>，该项支出</w:t>
      </w:r>
      <w:r>
        <w:rPr>
          <w:rFonts w:hint="default" w:ascii="仿宋" w:hAnsi="仿宋" w:eastAsia="仿宋" w:cs="仿宋"/>
          <w:b w:val="0"/>
          <w:bCs w:val="0"/>
          <w:color w:val="auto"/>
          <w:sz w:val="32"/>
          <w:szCs w:val="32"/>
          <w:highlight w:val="none"/>
          <w:lang w:val="en-US" w:eastAsia="zh-CN"/>
        </w:rPr>
        <w:t>不符合斧头湖北洪港河子流域水环境综合治理项目预算批复或合同规定用途</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2" w:firstLineChars="200"/>
        <w:jc w:val="both"/>
        <w:textAlignment w:val="auto"/>
        <w:outlineLvl w:val="0"/>
        <w:rPr>
          <w:sz w:val="32"/>
          <w:szCs w:val="32"/>
          <w:highlight w:val="none"/>
        </w:rPr>
      </w:pPr>
      <w:bookmarkStart w:id="44" w:name="_Toc15866"/>
      <w:bookmarkStart w:id="45" w:name="_Toc4108"/>
      <w:bookmarkStart w:id="46" w:name="_Toc17228"/>
      <w:bookmarkStart w:id="47" w:name="_Toc4272"/>
      <w:r>
        <w:rPr>
          <w:rFonts w:hint="eastAsia" w:ascii="楷体" w:hAnsi="楷体" w:eastAsia="楷体" w:cs="楷体"/>
          <w:b/>
          <w:bCs/>
          <w:color w:val="000000"/>
          <w:kern w:val="0"/>
          <w:sz w:val="32"/>
          <w:szCs w:val="32"/>
          <w:highlight w:val="none"/>
          <w:lang w:val="en-US" w:eastAsia="zh-CN" w:bidi="ar"/>
        </w:rPr>
        <w:t>（四）结果应用建议</w:t>
      </w:r>
      <w:bookmarkEnd w:id="44"/>
      <w:bookmarkEnd w:id="45"/>
      <w:bookmarkEnd w:id="46"/>
      <w:bookmarkEnd w:id="47"/>
      <w:r>
        <w:rPr>
          <w:rFonts w:hint="eastAsia" w:ascii="楷体" w:hAnsi="楷体" w:eastAsia="楷体" w:cs="楷体"/>
          <w:b/>
          <w:bCs/>
          <w:color w:val="000000"/>
          <w:kern w:val="0"/>
          <w:sz w:val="32"/>
          <w:szCs w:val="3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eastAsia" w:ascii="楷体" w:hAnsi="楷体" w:eastAsia="楷体" w:cs="楷体"/>
          <w:b/>
          <w:bCs/>
          <w:color w:val="000000"/>
          <w:kern w:val="0"/>
          <w:sz w:val="32"/>
          <w:szCs w:val="32"/>
          <w:highlight w:val="none"/>
          <w:lang w:val="en-US" w:eastAsia="zh-CN" w:bidi="ar"/>
        </w:rPr>
      </w:pPr>
      <w:bookmarkStart w:id="48" w:name="_Toc30381"/>
      <w:r>
        <w:rPr>
          <w:rFonts w:hint="eastAsia" w:ascii="楷体" w:hAnsi="楷体" w:eastAsia="楷体" w:cs="楷体"/>
          <w:b/>
          <w:bCs/>
          <w:color w:val="000000"/>
          <w:kern w:val="0"/>
          <w:sz w:val="32"/>
          <w:szCs w:val="32"/>
          <w:highlight w:val="none"/>
          <w:lang w:val="en-US" w:eastAsia="zh-CN" w:bidi="ar"/>
        </w:rPr>
        <w:t>1.存在问题改进建议</w:t>
      </w:r>
      <w:bookmarkEnd w:id="48"/>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（1）优化预算编制</w:t>
      </w:r>
      <w:bookmarkStart w:id="49" w:name="_Toc9837"/>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算编制过程中，应加强预算项目设立和预算资金分配的科学性和透明度，提高预算编制质量和效率，在预算编制过程中，应充分考虑设计方案和落地的差异，结合项目实际情况，合理编制预算，提高预算编制准确性。</w:t>
      </w:r>
      <w:bookmarkEnd w:id="49"/>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（2）合理按排施工工期</w:t>
      </w:r>
    </w:p>
    <w:p>
      <w:pPr>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val="0"/>
          <w:sz w:val="32"/>
          <w:szCs w:val="32"/>
          <w:lang w:val="en-US" w:eastAsia="zh-CN"/>
        </w:rPr>
      </w:pPr>
      <w:r>
        <w:rPr>
          <w:rFonts w:hint="eastAsia" w:ascii="仿宋" w:hAnsi="仿宋" w:eastAsia="仿宋" w:cs="仿宋"/>
          <w:color w:val="auto"/>
          <w:kern w:val="2"/>
          <w:sz w:val="32"/>
          <w:szCs w:val="32"/>
          <w:highlight w:val="none"/>
          <w:lang w:val="en-US" w:eastAsia="zh-CN" w:bidi="ar-SA"/>
        </w:rPr>
        <w:t>咸宁市生态环境局咸安区分局在实施</w:t>
      </w:r>
      <w:r>
        <w:rPr>
          <w:rFonts w:hint="eastAsia" w:ascii="仿宋" w:hAnsi="仿宋" w:eastAsia="仿宋" w:cs="仿宋"/>
          <w:color w:val="auto"/>
          <w:spacing w:val="0"/>
          <w:w w:val="100"/>
          <w:kern w:val="2"/>
          <w:position w:val="0"/>
          <w:sz w:val="32"/>
          <w:szCs w:val="32"/>
          <w:u w:val="none"/>
          <w:shd w:val="clear" w:color="auto" w:fill="auto"/>
          <w:lang w:val="en-US" w:eastAsia="zh-CN" w:bidi="zh-TW"/>
        </w:rPr>
        <w:t>斧头湖北洪港河子流域综合治理项目时，要结合斧头湖北洪港河子流域综合治理</w:t>
      </w:r>
      <w:r>
        <w:rPr>
          <w:rFonts w:hint="eastAsia" w:ascii="仿宋" w:hAnsi="仿宋" w:eastAsia="仿宋" w:cs="仿宋"/>
          <w:color w:val="auto"/>
          <w:kern w:val="2"/>
          <w:sz w:val="32"/>
          <w:szCs w:val="32"/>
          <w:highlight w:val="none"/>
          <w:lang w:val="en-US" w:eastAsia="zh-CN" w:bidi="ar-SA"/>
        </w:rPr>
        <w:t>项目的具体情况，优化初设，合理安排施工工期。</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rPr>
          <w:rFonts w:hint="default"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（3）确保资金合规使用</w:t>
      </w:r>
    </w:p>
    <w:p>
      <w:pPr>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lang w:val="en-US" w:eastAsia="zh-CN"/>
        </w:rPr>
      </w:pPr>
      <w:r>
        <w:rPr>
          <w:rFonts w:hint="default" w:ascii="仿宋" w:hAnsi="仿宋" w:eastAsia="仿宋" w:cs="仿宋"/>
          <w:color w:val="auto"/>
          <w:kern w:val="2"/>
          <w:sz w:val="32"/>
          <w:szCs w:val="32"/>
          <w:highlight w:val="none"/>
          <w:lang w:val="en-US" w:eastAsia="zh-CN" w:bidi="ar-SA"/>
        </w:rPr>
        <w:t>明确资金来源与支付范围，严格按项目资金管理规定及要求开展项目资金收支工作</w:t>
      </w:r>
      <w:r>
        <w:rPr>
          <w:rFonts w:hint="eastAsia" w:ascii="仿宋" w:hAnsi="仿宋" w:eastAsia="仿宋" w:cs="仿宋"/>
          <w:color w:val="auto"/>
          <w:kern w:val="2"/>
          <w:sz w:val="32"/>
          <w:szCs w:val="32"/>
          <w:highlight w:val="none"/>
          <w:lang w:val="en-US" w:eastAsia="zh-CN" w:bidi="ar-SA"/>
        </w:rPr>
        <w:t>，建立健全的内部控制制度、实行专款专用、加强项目资金使用监督。</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2" w:firstLineChars="200"/>
        <w:jc w:val="both"/>
        <w:textAlignment w:val="auto"/>
        <w:outlineLvl w:val="1"/>
        <w:rPr>
          <w:rFonts w:hint="eastAsia" w:ascii="楷体" w:hAnsi="楷体" w:eastAsia="楷体" w:cs="楷体"/>
          <w:b/>
          <w:bCs/>
          <w:color w:val="000000"/>
          <w:kern w:val="0"/>
          <w:sz w:val="32"/>
          <w:szCs w:val="32"/>
          <w:highlight w:val="none"/>
          <w:lang w:val="en-US" w:eastAsia="zh-CN" w:bidi="ar"/>
        </w:rPr>
      </w:pPr>
      <w:bookmarkStart w:id="50" w:name="_Toc28610"/>
      <w:r>
        <w:rPr>
          <w:rFonts w:hint="eastAsia" w:ascii="楷体" w:hAnsi="楷体" w:eastAsia="楷体" w:cs="楷体"/>
          <w:b/>
          <w:bCs/>
          <w:color w:val="000000"/>
          <w:kern w:val="0"/>
          <w:sz w:val="32"/>
          <w:szCs w:val="32"/>
          <w:highlight w:val="none"/>
          <w:lang w:val="en-US" w:eastAsia="zh-CN" w:bidi="ar"/>
        </w:rPr>
        <w:t>2.结果应用</w:t>
      </w:r>
      <w:bookmarkEnd w:id="50"/>
    </w:p>
    <w:p>
      <w:pPr>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sz w:val="32"/>
          <w:szCs w:val="24"/>
          <w:highlight w:val="none"/>
        </w:rPr>
      </w:pPr>
      <w:r>
        <w:rPr>
          <w:rFonts w:hint="eastAsia" w:ascii="仿宋" w:hAnsi="仿宋" w:eastAsia="仿宋"/>
          <w:sz w:val="32"/>
          <w:szCs w:val="24"/>
          <w:highlight w:val="none"/>
        </w:rPr>
        <w:t>本次绩效评价评级为</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良”</w:t>
      </w:r>
      <w:r>
        <w:rPr>
          <w:rFonts w:hint="eastAsia" w:ascii="仿宋" w:hAnsi="仿宋" w:eastAsia="仿宋"/>
          <w:sz w:val="32"/>
          <w:szCs w:val="24"/>
          <w:highlight w:val="none"/>
        </w:rPr>
        <w:t>，</w:t>
      </w:r>
      <w:r>
        <w:rPr>
          <w:rFonts w:hint="eastAsia" w:ascii="仿宋" w:hAnsi="仿宋" w:eastAsia="仿宋"/>
          <w:sz w:val="32"/>
          <w:szCs w:val="24"/>
          <w:highlight w:val="none"/>
          <w:lang w:val="en-US" w:eastAsia="zh-CN"/>
        </w:rPr>
        <w:t>咸宁市生态环境局咸安区分局应持续加强运维服务</w:t>
      </w:r>
      <w:r>
        <w:rPr>
          <w:rFonts w:hint="eastAsia" w:ascii="仿宋" w:hAnsi="仿宋" w:eastAsia="仿宋"/>
          <w:sz w:val="32"/>
          <w:szCs w:val="24"/>
          <w:highlight w:val="none"/>
        </w:rPr>
        <w:t>，</w:t>
      </w:r>
      <w:r>
        <w:rPr>
          <w:rFonts w:hint="eastAsia" w:ascii="仿宋" w:hAnsi="仿宋" w:eastAsia="仿宋"/>
          <w:sz w:val="32"/>
          <w:szCs w:val="24"/>
          <w:highlight w:val="none"/>
          <w:lang w:val="en-US" w:eastAsia="zh-CN"/>
        </w:rPr>
        <w:t>咸安</w:t>
      </w:r>
      <w:r>
        <w:rPr>
          <w:rFonts w:hint="eastAsia" w:ascii="仿宋" w:hAnsi="仿宋" w:eastAsia="仿宋"/>
          <w:sz w:val="32"/>
          <w:szCs w:val="24"/>
          <w:highlight w:val="none"/>
        </w:rPr>
        <w:t>区财政局在安排以后年度预算时，应对</w:t>
      </w:r>
      <w:r>
        <w:rPr>
          <w:rFonts w:hint="eastAsia" w:ascii="仿宋" w:hAnsi="仿宋" w:eastAsia="仿宋"/>
          <w:sz w:val="32"/>
          <w:szCs w:val="24"/>
          <w:highlight w:val="none"/>
          <w:lang w:val="en-US" w:eastAsia="zh-CN"/>
        </w:rPr>
        <w:t>咸宁市生态环境局咸安区分局</w:t>
      </w:r>
      <w:r>
        <w:rPr>
          <w:rFonts w:hint="eastAsia" w:ascii="仿宋" w:hAnsi="仿宋" w:eastAsia="仿宋"/>
          <w:sz w:val="32"/>
          <w:szCs w:val="24"/>
          <w:highlight w:val="none"/>
        </w:rPr>
        <w:t>本年度问题整改的情况作为重</w:t>
      </w:r>
      <w:r>
        <w:rPr>
          <w:rFonts w:hint="eastAsia" w:ascii="仿宋" w:hAnsi="仿宋" w:eastAsia="仿宋"/>
          <w:sz w:val="32"/>
          <w:szCs w:val="24"/>
          <w:highlight w:val="none"/>
          <w:lang w:val="en-US" w:eastAsia="zh-CN"/>
        </w:rPr>
        <w:t>要</w:t>
      </w:r>
      <w:r>
        <w:rPr>
          <w:rFonts w:hint="eastAsia" w:ascii="仿宋" w:hAnsi="仿宋" w:eastAsia="仿宋"/>
          <w:sz w:val="32"/>
          <w:szCs w:val="24"/>
          <w:highlight w:val="none"/>
        </w:rPr>
        <w:t>参考。</w:t>
      </w:r>
    </w:p>
    <w:p>
      <w:pPr>
        <w:pStyle w:val="22"/>
        <w:keepNext w:val="0"/>
        <w:keepLines w:val="0"/>
        <w:pageBreakBefore w:val="0"/>
        <w:widowControl w:val="0"/>
        <w:numPr>
          <w:ilvl w:val="0"/>
          <w:numId w:val="0"/>
        </w:numPr>
        <w:kinsoku/>
        <w:wordWrap/>
        <w:overflowPunct/>
        <w:topLinePunct w:val="0"/>
        <w:autoSpaceDE/>
        <w:autoSpaceDN/>
        <w:bidi w:val="0"/>
        <w:adjustRightInd w:val="0"/>
        <w:snapToGrid/>
        <w:jc w:val="left"/>
        <w:textAlignment w:val="baseline"/>
        <w:outlineLvl w:val="9"/>
        <w:rPr>
          <w:rFonts w:hint="default" w:ascii="黑体" w:hAnsi="黑体" w:eastAsia="黑体" w:cs="黑体"/>
          <w:b/>
          <w:bCs w:val="0"/>
          <w:color w:val="auto"/>
          <w:sz w:val="32"/>
          <w:szCs w:val="32"/>
          <w:highlight w:val="none"/>
          <w:lang w:val="en-US" w:eastAsia="zh-CN"/>
        </w:rPr>
      </w:pPr>
    </w:p>
    <w:sectPr>
      <w:footerReference r:id="rId5" w:type="default"/>
      <w:pgSz w:w="11906" w:h="16838"/>
      <w:pgMar w:top="964" w:right="1474" w:bottom="850" w:left="1587" w:header="1304"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Light">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b w:val="0"/>
        <w:bCs w:val="0"/>
        <w:kern w:val="2"/>
        <w:sz w:val="24"/>
        <w:szCs w:val="24"/>
        <w:highlight w:val="none"/>
        <w:lang w:val="en-US" w:eastAsia="zh-CN" w:bidi="ar-SA"/>
      </w:rPr>
    </w:pPr>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5S6NMwIAAGMEAAAOAAAAZHJz&#10;L2Uyb0RvYy54bWytVM2O0zAQviPxDpbvNGkRS6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AXlLo0zAgAAY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14"/>
                    </w:pPr>
                  </w:p>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-19685</wp:posOffset>
              </wp:positionV>
              <wp:extent cx="5585460" cy="5080"/>
              <wp:effectExtent l="0" t="13970" r="2540" b="19050"/>
              <wp:wrapNone/>
              <wp:docPr id="78" name="直接连接符 78"/>
              <wp:cNvGraphicFramePr/>
              <a:graphic xmlns:a="http://schemas.openxmlformats.org/drawingml/2006/main">
                <a:graphicData uri="http://schemas.microsoft.com/office/word/2010/wordprocessingShape">
                  <wps:wsp>
                    <wps:cNvCnPr/>
                    <wps:spPr>
                      <a:xfrm>
                        <a:off x="1014095" y="9713595"/>
                        <a:ext cx="5585460" cy="5080"/>
                      </a:xfrm>
                      <a:prstGeom prst="line">
                        <a:avLst/>
                      </a:prstGeom>
                      <a:ln w="28575" cmpd="dbl">
                        <a:solidFill>
                          <a:schemeClr val="accent1">
                            <a:shade val="50000"/>
                            <a:alpha val="69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55pt;height:0.4pt;width:439.8pt;z-index:251664384;mso-width-relative:page;mso-height-relative:page;" filled="f" stroked="t" coordsize="21600,21600" o:gfxdata="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">
              <v:fill on="f" focussize="0,0"/>
              <v:stroke weight="2.25pt" color="#2F528F [3204]" opacity="45219f" linestyle="thinThin" miterlimit="8" joinstyle="miter"/>
              <v:imagedata o:title=""/>
              <o:lock v:ext="edit" aspectratio="f"/>
            </v:line>
          </w:pict>
        </mc:Fallback>
      </mc:AlternateContent>
    </w:r>
    <w:r>
      <w:rPr>
        <w:rFonts w:hint="eastAsia" w:ascii="仿宋" w:hAnsi="仿宋" w:eastAsia="仿宋" w:cs="仿宋"/>
        <w:b w:val="0"/>
        <w:bCs w:val="0"/>
        <w:kern w:val="2"/>
        <w:sz w:val="24"/>
        <w:szCs w:val="24"/>
        <w:highlight w:val="none"/>
        <w:lang w:val="en-US" w:eastAsia="zh-CN" w:bidi="ar-SA"/>
      </w:rPr>
      <w:t>河南德利达会计师事务所（普通合伙）地址：郑州市金水区丰产路街道黄河路1号院</w:t>
    </w:r>
  </w:p>
  <w:p>
    <w:pPr>
      <w:pStyle w:val="14"/>
      <w:jc w:val="left"/>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公司电话：0371-65716502/0715-8906636  主评人郭良民电话：18538602898</w:t>
    </w:r>
  </w:p>
  <w:p>
    <w:pPr>
      <w:pStyle w:val="14"/>
      <w:tabs>
        <w:tab w:val="clear" w:pos="4153"/>
      </w:tabs>
      <w:jc w:val="right"/>
      <w:rPr>
        <w:rFonts w:hint="default" w:ascii="仿宋" w:hAnsi="仿宋" w:eastAsia="仿宋" w:cs="仿宋"/>
        <w:b w:val="0"/>
        <w:bCs w:val="0"/>
        <w:kern w:val="2"/>
        <w:sz w:val="24"/>
        <w:szCs w:val="24"/>
        <w:highlight w:val="none"/>
        <w:lang w:val="en-US" w:eastAsia="zh-CN" w:bidi="ar-SA"/>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b w:val="0"/>
        <w:bCs w:val="0"/>
        <w:kern w:val="2"/>
        <w:sz w:val="24"/>
        <w:szCs w:val="24"/>
        <w:highlight w:val="none"/>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-19685</wp:posOffset>
              </wp:positionV>
              <wp:extent cx="5585460" cy="5080"/>
              <wp:effectExtent l="0" t="13970" r="2540" b="19050"/>
              <wp:wrapNone/>
              <wp:docPr id="13" name="直接连接符 13"/>
              <wp:cNvGraphicFramePr/>
              <a:graphic xmlns:a="http://schemas.openxmlformats.org/drawingml/2006/main">
                <a:graphicData uri="http://schemas.microsoft.com/office/word/2010/wordprocessingShape">
                  <wps:wsp>
                    <wps:cNvCnPr/>
                    <wps:spPr>
                      <a:xfrm>
                        <a:off x="1014095" y="9713595"/>
                        <a:ext cx="5585460" cy="5080"/>
                      </a:xfrm>
                      <a:prstGeom prst="line">
                        <a:avLst/>
                      </a:prstGeom>
                      <a:ln w="28575" cmpd="dbl">
                        <a:solidFill>
                          <a:schemeClr val="accent1">
                            <a:shade val="50000"/>
                            <a:alpha val="69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55pt;height:0.4pt;width:439.8pt;z-index:251662336;mso-width-relative:page;mso-height-relative:page;" filled="f" stroked="t" coordsize="21600,21600" o:gfxdata="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">
              <v:fill on="f" focussize="0,0"/>
              <v:stroke weight="2.25pt" color="#2F528F [3204]" opacity="45219f" linestyle="thinThin" miterlimit="8" joinstyle="miter"/>
              <v:imagedata o:title=""/>
              <o:lock v:ext="edit" aspectratio="f"/>
            </v:line>
          </w:pict>
        </mc:Fallback>
      </mc:AlternateContent>
    </w:r>
    <w:r>
      <w:rPr>
        <w:rFonts w:hint="eastAsia" w:ascii="仿宋" w:hAnsi="仿宋" w:eastAsia="仿宋" w:cs="仿宋"/>
        <w:b w:val="0"/>
        <w:bCs w:val="0"/>
        <w:kern w:val="2"/>
        <w:sz w:val="24"/>
        <w:szCs w:val="24"/>
        <w:highlight w:val="none"/>
        <w:lang w:val="en-US" w:eastAsia="zh-CN" w:bidi="ar-SA"/>
      </w:rPr>
      <w:t>河南德利达会计师事务所（普通合伙）地址：郑州市金水区丰产路街道黄河路1号院</w:t>
    </w:r>
  </w:p>
  <w:p>
    <w:pPr>
      <w:pStyle w:val="14"/>
      <w:jc w:val="left"/>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405"/>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RbWQMwIAAGM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X1OimULFT9+/nX78Ov38SnAGgVrrZ4h7sIgM3VvToW2Gc4/DyLurnIpfMCLw&#10;Q97jRV7RBcLjpelkOs3h4vANG+Bnj9et8+GdMIpEo6AO9UuyssPGhz50CInZtFk3UqYaSk3agl69&#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F5FtZAzAgAAY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sdt>
                    <w:sdtPr>
                      <w:id w:val="147469405"/>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2"/>
                    </w:pPr>
                  </w:p>
                </w:txbxContent>
              </v:textbox>
            </v:shape>
          </w:pict>
        </mc:Fallback>
      </mc:AlternateContent>
    </w:r>
    <w:r>
      <w:rPr>
        <w:rFonts w:hint="eastAsia" w:ascii="仿宋" w:hAnsi="仿宋" w:eastAsia="仿宋" w:cs="仿宋"/>
        <w:b w:val="0"/>
        <w:bCs w:val="0"/>
        <w:kern w:val="2"/>
        <w:sz w:val="24"/>
        <w:szCs w:val="24"/>
        <w:highlight w:val="none"/>
        <w:lang w:val="en-US" w:eastAsia="zh-CN" w:bidi="ar-SA"/>
      </w:rPr>
      <w:t>公司电话：0371-65716502/0715-8906636  主评人郭良民电话：18538602898</w:t>
    </w:r>
  </w:p>
  <w:p>
    <w:pPr>
      <w:pStyle w:val="14"/>
      <w:jc w:val="left"/>
      <w:rPr>
        <w:rFonts w:hint="default" w:ascii="仿宋" w:hAnsi="仿宋" w:eastAsia="仿宋" w:cs="仿宋"/>
        <w:b w:val="0"/>
        <w:bCs w:val="0"/>
        <w:kern w:val="2"/>
        <w:sz w:val="24"/>
        <w:szCs w:val="24"/>
        <w:highlight w:val="none"/>
        <w:lang w:val="en-US" w:eastAsia="zh-CN" w:bidi="ar-SA"/>
      </w:rPr>
    </w:pP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2F528F" w:sz="12" w:space="1"/>
      </w:pBdr>
      <w:tabs>
        <w:tab w:val="left" w:pos="7990"/>
        <w:tab w:val="clear" w:pos="8306"/>
      </w:tabs>
      <w:jc w:val="left"/>
      <w:rPr>
        <w:rFonts w:hint="default"/>
        <w:lang w:val="en-US"/>
        <w14:textOutline w14:w="28575" w14:cmpd="dbl">
          <w14:solidFill>
            <w14:schemeClr w14:val="accent1">
              <w14:alpha w14:val="0"/>
            </w14:schemeClr>
          </w14:solidFill>
          <w14:prstDash w14:val="solid"/>
          <w14:round/>
        </w14:textOutline>
      </w:rPr>
    </w:pPr>
    <w:r>
      <w:rPr>
        <w:rFonts w:hint="eastAsia"/>
        <w:lang w:val="en-US" w:eastAsia="zh-CN"/>
      </w:rPr>
      <w:t>斧头湖北洪港河子流域生态修复工程项目绩效评价报告</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s/vGR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both"/>
                            <w:textAlignment w:val="auto"/>
                            <w:outlineLvl w:val="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both"/>
                      <w:textAlignment w:val="auto"/>
                      <w:outlineLvl w:val="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3"/>
      <w:suff w:val="nothing"/>
      <w:lvlText w:val="（%2）"/>
      <w:lvlJc w:val="left"/>
      <w:pPr>
        <w:tabs>
          <w:tab w:val="left" w:pos="0"/>
        </w:tabs>
        <w:ind w:left="1050" w:firstLine="0"/>
      </w:pPr>
      <w:rPr>
        <w:rFonts w:hint="eastAsia" w:ascii="黑体" w:hAnsi="黑体" w:eastAsia="黑体"/>
      </w:rPr>
    </w:lvl>
    <w:lvl w:ilvl="2" w:tentative="0">
      <w:start w:val="1"/>
      <w:numFmt w:val="decimal"/>
      <w:pStyle w:val="4"/>
      <w:suff w:val="nothing"/>
      <w:lvlText w:val="%3．"/>
      <w:lvlJc w:val="left"/>
      <w:pPr>
        <w:tabs>
          <w:tab w:val="left" w:pos="0"/>
        </w:tabs>
        <w:ind w:left="0" w:firstLine="400"/>
      </w:pPr>
      <w:rPr>
        <w:rFonts w:hint="eastAsia" w:ascii="黑体" w:hAnsi="黑体" w:eastAsia="黑体"/>
      </w:rPr>
    </w:lvl>
    <w:lvl w:ilvl="3" w:tentative="0">
      <w:start w:val="1"/>
      <w:numFmt w:val="decimal"/>
      <w:pStyle w:val="5"/>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3344E2F3"/>
    <w:multiLevelType w:val="singleLevel"/>
    <w:tmpl w:val="3344E2F3"/>
    <w:lvl w:ilvl="0" w:tentative="0">
      <w:start w:val="2"/>
      <w:numFmt w:val="decimal"/>
      <w:suff w:val="nothing"/>
      <w:lvlText w:val="%1、"/>
      <w:lvlJc w:val="left"/>
    </w:lvl>
  </w:abstractNum>
  <w:abstractNum w:abstractNumId="2">
    <w:nsid w:val="74660E1C"/>
    <w:multiLevelType w:val="singleLevel"/>
    <w:tmpl w:val="74660E1C"/>
    <w:lvl w:ilvl="0" w:tentative="0">
      <w:start w:val="2"/>
      <w:numFmt w:val="chineseCounting"/>
      <w:suff w:val="nothing"/>
      <w:lvlText w:val="（%1）"/>
      <w:lvlJc w:val="left"/>
      <w:pPr>
        <w:ind w:left="-13"/>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jZGViYmQ1OTVmYzdhMTcxZGZiNWEyYTIwYzAzMzMifQ=="/>
  </w:docVars>
  <w:rsids>
    <w:rsidRoot w:val="00172A27"/>
    <w:rsid w:val="00014ACF"/>
    <w:rsid w:val="000153CE"/>
    <w:rsid w:val="000179A0"/>
    <w:rsid w:val="0002141F"/>
    <w:rsid w:val="00023449"/>
    <w:rsid w:val="000322B6"/>
    <w:rsid w:val="0003661F"/>
    <w:rsid w:val="0004008E"/>
    <w:rsid w:val="00041D61"/>
    <w:rsid w:val="000448A0"/>
    <w:rsid w:val="0006002B"/>
    <w:rsid w:val="00061F1F"/>
    <w:rsid w:val="00063B45"/>
    <w:rsid w:val="00064465"/>
    <w:rsid w:val="00070646"/>
    <w:rsid w:val="000722B9"/>
    <w:rsid w:val="00074C37"/>
    <w:rsid w:val="00081326"/>
    <w:rsid w:val="00090526"/>
    <w:rsid w:val="00091629"/>
    <w:rsid w:val="00092878"/>
    <w:rsid w:val="000A12F9"/>
    <w:rsid w:val="000A3D8B"/>
    <w:rsid w:val="000A596F"/>
    <w:rsid w:val="000B0767"/>
    <w:rsid w:val="000C47F3"/>
    <w:rsid w:val="000D3594"/>
    <w:rsid w:val="000D3E03"/>
    <w:rsid w:val="000D7D33"/>
    <w:rsid w:val="000E6E2B"/>
    <w:rsid w:val="000F3803"/>
    <w:rsid w:val="000F6030"/>
    <w:rsid w:val="001033EC"/>
    <w:rsid w:val="00106B34"/>
    <w:rsid w:val="00113240"/>
    <w:rsid w:val="00114A71"/>
    <w:rsid w:val="0014111A"/>
    <w:rsid w:val="001440BC"/>
    <w:rsid w:val="00151ABA"/>
    <w:rsid w:val="00156AF0"/>
    <w:rsid w:val="001610A8"/>
    <w:rsid w:val="0016487B"/>
    <w:rsid w:val="00166AB1"/>
    <w:rsid w:val="0017326F"/>
    <w:rsid w:val="001902A4"/>
    <w:rsid w:val="001A4436"/>
    <w:rsid w:val="001B050D"/>
    <w:rsid w:val="001B100C"/>
    <w:rsid w:val="001B4734"/>
    <w:rsid w:val="001B6342"/>
    <w:rsid w:val="001D0F36"/>
    <w:rsid w:val="001D446B"/>
    <w:rsid w:val="001D4571"/>
    <w:rsid w:val="001D4B5E"/>
    <w:rsid w:val="001D57D4"/>
    <w:rsid w:val="001E20CB"/>
    <w:rsid w:val="001E6EB9"/>
    <w:rsid w:val="0020158B"/>
    <w:rsid w:val="00201DDD"/>
    <w:rsid w:val="002025E9"/>
    <w:rsid w:val="002033C5"/>
    <w:rsid w:val="00215B3B"/>
    <w:rsid w:val="00224CCC"/>
    <w:rsid w:val="00227450"/>
    <w:rsid w:val="00244DE1"/>
    <w:rsid w:val="0025420D"/>
    <w:rsid w:val="00254F94"/>
    <w:rsid w:val="00255CDA"/>
    <w:rsid w:val="002577DA"/>
    <w:rsid w:val="002600A8"/>
    <w:rsid w:val="00264E6F"/>
    <w:rsid w:val="00265AF8"/>
    <w:rsid w:val="0028068E"/>
    <w:rsid w:val="002813C4"/>
    <w:rsid w:val="00281DDE"/>
    <w:rsid w:val="00286DAD"/>
    <w:rsid w:val="00290F5F"/>
    <w:rsid w:val="00291DB2"/>
    <w:rsid w:val="002B35C7"/>
    <w:rsid w:val="002B3AFB"/>
    <w:rsid w:val="002B5717"/>
    <w:rsid w:val="002B65D6"/>
    <w:rsid w:val="002C4C48"/>
    <w:rsid w:val="002C6242"/>
    <w:rsid w:val="002E6AB4"/>
    <w:rsid w:val="002E6E01"/>
    <w:rsid w:val="002F0C8E"/>
    <w:rsid w:val="002F4AC4"/>
    <w:rsid w:val="00303318"/>
    <w:rsid w:val="00311362"/>
    <w:rsid w:val="00311FF1"/>
    <w:rsid w:val="00312F57"/>
    <w:rsid w:val="003245AA"/>
    <w:rsid w:val="00345D22"/>
    <w:rsid w:val="003471AC"/>
    <w:rsid w:val="00357284"/>
    <w:rsid w:val="00365874"/>
    <w:rsid w:val="00371AEB"/>
    <w:rsid w:val="00373608"/>
    <w:rsid w:val="003769A3"/>
    <w:rsid w:val="0038181D"/>
    <w:rsid w:val="00386C6D"/>
    <w:rsid w:val="00393B81"/>
    <w:rsid w:val="003954C5"/>
    <w:rsid w:val="003A0036"/>
    <w:rsid w:val="003A034C"/>
    <w:rsid w:val="003A5007"/>
    <w:rsid w:val="003A5623"/>
    <w:rsid w:val="003B2357"/>
    <w:rsid w:val="003B579F"/>
    <w:rsid w:val="003C3C0E"/>
    <w:rsid w:val="003C50D8"/>
    <w:rsid w:val="003D2C6A"/>
    <w:rsid w:val="003D4486"/>
    <w:rsid w:val="003E6020"/>
    <w:rsid w:val="003E738E"/>
    <w:rsid w:val="003F1789"/>
    <w:rsid w:val="003F5023"/>
    <w:rsid w:val="0040297F"/>
    <w:rsid w:val="00411169"/>
    <w:rsid w:val="0042096A"/>
    <w:rsid w:val="00421811"/>
    <w:rsid w:val="00426F90"/>
    <w:rsid w:val="0042716F"/>
    <w:rsid w:val="00434615"/>
    <w:rsid w:val="0043766A"/>
    <w:rsid w:val="00451DA2"/>
    <w:rsid w:val="004726A8"/>
    <w:rsid w:val="00475667"/>
    <w:rsid w:val="004760FF"/>
    <w:rsid w:val="00491DF3"/>
    <w:rsid w:val="00493F18"/>
    <w:rsid w:val="00496D28"/>
    <w:rsid w:val="004A084E"/>
    <w:rsid w:val="004A4957"/>
    <w:rsid w:val="004B20BA"/>
    <w:rsid w:val="004B4EF1"/>
    <w:rsid w:val="004C0859"/>
    <w:rsid w:val="004C4161"/>
    <w:rsid w:val="004D269F"/>
    <w:rsid w:val="004D274E"/>
    <w:rsid w:val="004F6A0F"/>
    <w:rsid w:val="00502327"/>
    <w:rsid w:val="005030D3"/>
    <w:rsid w:val="00505E92"/>
    <w:rsid w:val="0051570E"/>
    <w:rsid w:val="005160CE"/>
    <w:rsid w:val="005217C6"/>
    <w:rsid w:val="005223B5"/>
    <w:rsid w:val="005327D5"/>
    <w:rsid w:val="00536C4B"/>
    <w:rsid w:val="00547967"/>
    <w:rsid w:val="0055117A"/>
    <w:rsid w:val="00557EB4"/>
    <w:rsid w:val="00562015"/>
    <w:rsid w:val="00562174"/>
    <w:rsid w:val="00573323"/>
    <w:rsid w:val="005830DF"/>
    <w:rsid w:val="005958D9"/>
    <w:rsid w:val="005B4FCC"/>
    <w:rsid w:val="005B55BA"/>
    <w:rsid w:val="005C384D"/>
    <w:rsid w:val="005D7B74"/>
    <w:rsid w:val="0060402A"/>
    <w:rsid w:val="00605A42"/>
    <w:rsid w:val="00617FCB"/>
    <w:rsid w:val="00621DBB"/>
    <w:rsid w:val="0062433B"/>
    <w:rsid w:val="00634D4D"/>
    <w:rsid w:val="006406E4"/>
    <w:rsid w:val="00653E40"/>
    <w:rsid w:val="00661652"/>
    <w:rsid w:val="006712AF"/>
    <w:rsid w:val="00676533"/>
    <w:rsid w:val="00690FAD"/>
    <w:rsid w:val="006A2166"/>
    <w:rsid w:val="006A260E"/>
    <w:rsid w:val="006B0EBF"/>
    <w:rsid w:val="006B28C2"/>
    <w:rsid w:val="006B3757"/>
    <w:rsid w:val="006D1547"/>
    <w:rsid w:val="006D2BB5"/>
    <w:rsid w:val="006D4574"/>
    <w:rsid w:val="006D49A7"/>
    <w:rsid w:val="006D74A2"/>
    <w:rsid w:val="006D7F7C"/>
    <w:rsid w:val="006E3951"/>
    <w:rsid w:val="006F2560"/>
    <w:rsid w:val="006F405A"/>
    <w:rsid w:val="006F5DA6"/>
    <w:rsid w:val="006F5ED2"/>
    <w:rsid w:val="00703A13"/>
    <w:rsid w:val="007211C0"/>
    <w:rsid w:val="00721C21"/>
    <w:rsid w:val="00725C1C"/>
    <w:rsid w:val="00754390"/>
    <w:rsid w:val="00765AF3"/>
    <w:rsid w:val="00771545"/>
    <w:rsid w:val="007724EA"/>
    <w:rsid w:val="0077687F"/>
    <w:rsid w:val="00780472"/>
    <w:rsid w:val="007830E4"/>
    <w:rsid w:val="007854D4"/>
    <w:rsid w:val="0078552C"/>
    <w:rsid w:val="00792703"/>
    <w:rsid w:val="00794586"/>
    <w:rsid w:val="007A0E35"/>
    <w:rsid w:val="007A524B"/>
    <w:rsid w:val="007A5CB2"/>
    <w:rsid w:val="007B2749"/>
    <w:rsid w:val="007C06F0"/>
    <w:rsid w:val="007C138C"/>
    <w:rsid w:val="007C34F1"/>
    <w:rsid w:val="007C4861"/>
    <w:rsid w:val="007D7519"/>
    <w:rsid w:val="007E2169"/>
    <w:rsid w:val="007E3674"/>
    <w:rsid w:val="007E610B"/>
    <w:rsid w:val="007F0FF3"/>
    <w:rsid w:val="008003AE"/>
    <w:rsid w:val="008126A3"/>
    <w:rsid w:val="00814F1C"/>
    <w:rsid w:val="008246C3"/>
    <w:rsid w:val="00840D15"/>
    <w:rsid w:val="008527C7"/>
    <w:rsid w:val="008556DE"/>
    <w:rsid w:val="008657A4"/>
    <w:rsid w:val="008665D2"/>
    <w:rsid w:val="00874B93"/>
    <w:rsid w:val="0088430D"/>
    <w:rsid w:val="00887AB5"/>
    <w:rsid w:val="0089329F"/>
    <w:rsid w:val="00897A8D"/>
    <w:rsid w:val="008A2818"/>
    <w:rsid w:val="008A65D3"/>
    <w:rsid w:val="008A7719"/>
    <w:rsid w:val="008C1D0D"/>
    <w:rsid w:val="008E17E3"/>
    <w:rsid w:val="008E620F"/>
    <w:rsid w:val="008E737F"/>
    <w:rsid w:val="008F07DB"/>
    <w:rsid w:val="009134F4"/>
    <w:rsid w:val="00917CA4"/>
    <w:rsid w:val="00923D98"/>
    <w:rsid w:val="00927E03"/>
    <w:rsid w:val="0094743D"/>
    <w:rsid w:val="00971341"/>
    <w:rsid w:val="00972790"/>
    <w:rsid w:val="009920B7"/>
    <w:rsid w:val="00992329"/>
    <w:rsid w:val="00993BD3"/>
    <w:rsid w:val="009B767E"/>
    <w:rsid w:val="009C18DB"/>
    <w:rsid w:val="009D370F"/>
    <w:rsid w:val="009D3EBF"/>
    <w:rsid w:val="009D6316"/>
    <w:rsid w:val="009D7E3C"/>
    <w:rsid w:val="009E779A"/>
    <w:rsid w:val="00A302F6"/>
    <w:rsid w:val="00A37C59"/>
    <w:rsid w:val="00A42941"/>
    <w:rsid w:val="00A44CB0"/>
    <w:rsid w:val="00A47C04"/>
    <w:rsid w:val="00A52FEE"/>
    <w:rsid w:val="00A53EF9"/>
    <w:rsid w:val="00A612AE"/>
    <w:rsid w:val="00A746BC"/>
    <w:rsid w:val="00A75940"/>
    <w:rsid w:val="00A77326"/>
    <w:rsid w:val="00A87507"/>
    <w:rsid w:val="00A91711"/>
    <w:rsid w:val="00A95B71"/>
    <w:rsid w:val="00A97A88"/>
    <w:rsid w:val="00AA194F"/>
    <w:rsid w:val="00AB164C"/>
    <w:rsid w:val="00AB20D0"/>
    <w:rsid w:val="00AD632A"/>
    <w:rsid w:val="00AE08DB"/>
    <w:rsid w:val="00AE0927"/>
    <w:rsid w:val="00AE7D5B"/>
    <w:rsid w:val="00AF08D5"/>
    <w:rsid w:val="00AF3159"/>
    <w:rsid w:val="00B008A6"/>
    <w:rsid w:val="00B052E0"/>
    <w:rsid w:val="00B10DC5"/>
    <w:rsid w:val="00B16DE4"/>
    <w:rsid w:val="00B3312A"/>
    <w:rsid w:val="00B4094D"/>
    <w:rsid w:val="00B44922"/>
    <w:rsid w:val="00B526A2"/>
    <w:rsid w:val="00B54948"/>
    <w:rsid w:val="00B5566B"/>
    <w:rsid w:val="00B62A51"/>
    <w:rsid w:val="00B67C18"/>
    <w:rsid w:val="00B7003C"/>
    <w:rsid w:val="00B701B7"/>
    <w:rsid w:val="00B71216"/>
    <w:rsid w:val="00B76BCD"/>
    <w:rsid w:val="00B77425"/>
    <w:rsid w:val="00B82268"/>
    <w:rsid w:val="00B9197B"/>
    <w:rsid w:val="00B9511C"/>
    <w:rsid w:val="00BA390F"/>
    <w:rsid w:val="00BA795F"/>
    <w:rsid w:val="00BB08B9"/>
    <w:rsid w:val="00BB4B58"/>
    <w:rsid w:val="00BC0490"/>
    <w:rsid w:val="00BC0DFB"/>
    <w:rsid w:val="00BD0F4D"/>
    <w:rsid w:val="00BD3D56"/>
    <w:rsid w:val="00BE1319"/>
    <w:rsid w:val="00BE157B"/>
    <w:rsid w:val="00BE361B"/>
    <w:rsid w:val="00BE384C"/>
    <w:rsid w:val="00BE41A6"/>
    <w:rsid w:val="00BF2533"/>
    <w:rsid w:val="00BF39EA"/>
    <w:rsid w:val="00C057CA"/>
    <w:rsid w:val="00C1547D"/>
    <w:rsid w:val="00C16555"/>
    <w:rsid w:val="00C224F2"/>
    <w:rsid w:val="00C24E58"/>
    <w:rsid w:val="00C2576E"/>
    <w:rsid w:val="00C3438F"/>
    <w:rsid w:val="00C35FA1"/>
    <w:rsid w:val="00C371E8"/>
    <w:rsid w:val="00C37E51"/>
    <w:rsid w:val="00C439B1"/>
    <w:rsid w:val="00C43ECA"/>
    <w:rsid w:val="00C529DE"/>
    <w:rsid w:val="00C547CF"/>
    <w:rsid w:val="00C5715A"/>
    <w:rsid w:val="00C72D71"/>
    <w:rsid w:val="00C734FC"/>
    <w:rsid w:val="00C75443"/>
    <w:rsid w:val="00C778AB"/>
    <w:rsid w:val="00C848E3"/>
    <w:rsid w:val="00C91803"/>
    <w:rsid w:val="00C926A4"/>
    <w:rsid w:val="00C9602E"/>
    <w:rsid w:val="00CA1934"/>
    <w:rsid w:val="00CA3B9F"/>
    <w:rsid w:val="00CA58FF"/>
    <w:rsid w:val="00CB33F9"/>
    <w:rsid w:val="00CD16AB"/>
    <w:rsid w:val="00CD1F68"/>
    <w:rsid w:val="00CD4C29"/>
    <w:rsid w:val="00CF6019"/>
    <w:rsid w:val="00CF78D5"/>
    <w:rsid w:val="00D03356"/>
    <w:rsid w:val="00D11B87"/>
    <w:rsid w:val="00D1283D"/>
    <w:rsid w:val="00D12FAD"/>
    <w:rsid w:val="00D14B4D"/>
    <w:rsid w:val="00D14C98"/>
    <w:rsid w:val="00D15B62"/>
    <w:rsid w:val="00D178A4"/>
    <w:rsid w:val="00D40002"/>
    <w:rsid w:val="00D41342"/>
    <w:rsid w:val="00D446CF"/>
    <w:rsid w:val="00D523C9"/>
    <w:rsid w:val="00D5472C"/>
    <w:rsid w:val="00D54FE9"/>
    <w:rsid w:val="00D5623B"/>
    <w:rsid w:val="00D570F7"/>
    <w:rsid w:val="00D70B5A"/>
    <w:rsid w:val="00D7273A"/>
    <w:rsid w:val="00D76D18"/>
    <w:rsid w:val="00D77D32"/>
    <w:rsid w:val="00D87483"/>
    <w:rsid w:val="00D90B6E"/>
    <w:rsid w:val="00DA05AC"/>
    <w:rsid w:val="00DB3FB7"/>
    <w:rsid w:val="00DD47BF"/>
    <w:rsid w:val="00DD4AC2"/>
    <w:rsid w:val="00DE40CA"/>
    <w:rsid w:val="00DF1175"/>
    <w:rsid w:val="00E015C6"/>
    <w:rsid w:val="00E06B1F"/>
    <w:rsid w:val="00E10314"/>
    <w:rsid w:val="00E11D5B"/>
    <w:rsid w:val="00E26D50"/>
    <w:rsid w:val="00E278E6"/>
    <w:rsid w:val="00E30235"/>
    <w:rsid w:val="00E364C9"/>
    <w:rsid w:val="00E563C3"/>
    <w:rsid w:val="00E72766"/>
    <w:rsid w:val="00E80FC7"/>
    <w:rsid w:val="00E85E28"/>
    <w:rsid w:val="00E870E6"/>
    <w:rsid w:val="00E8753C"/>
    <w:rsid w:val="00EA0145"/>
    <w:rsid w:val="00EB4C67"/>
    <w:rsid w:val="00EB7856"/>
    <w:rsid w:val="00ED620C"/>
    <w:rsid w:val="00EE7170"/>
    <w:rsid w:val="00EF1900"/>
    <w:rsid w:val="00F01DB5"/>
    <w:rsid w:val="00F06A07"/>
    <w:rsid w:val="00F120DB"/>
    <w:rsid w:val="00F147DA"/>
    <w:rsid w:val="00F25EBB"/>
    <w:rsid w:val="00F44D2D"/>
    <w:rsid w:val="00F53858"/>
    <w:rsid w:val="00F5733D"/>
    <w:rsid w:val="00F601A7"/>
    <w:rsid w:val="00F77A27"/>
    <w:rsid w:val="00F97EA0"/>
    <w:rsid w:val="00FA371F"/>
    <w:rsid w:val="00FC71A9"/>
    <w:rsid w:val="00FD1F0F"/>
    <w:rsid w:val="00FD509A"/>
    <w:rsid w:val="00FD5B38"/>
    <w:rsid w:val="00FE7528"/>
    <w:rsid w:val="00FF0382"/>
    <w:rsid w:val="00FF5FF7"/>
    <w:rsid w:val="012952F0"/>
    <w:rsid w:val="017B456A"/>
    <w:rsid w:val="02997C3F"/>
    <w:rsid w:val="03551B2C"/>
    <w:rsid w:val="03B570C4"/>
    <w:rsid w:val="04112F65"/>
    <w:rsid w:val="0468080A"/>
    <w:rsid w:val="04F60E6E"/>
    <w:rsid w:val="04FC6C81"/>
    <w:rsid w:val="05136B1D"/>
    <w:rsid w:val="052770A2"/>
    <w:rsid w:val="05293D18"/>
    <w:rsid w:val="056535D0"/>
    <w:rsid w:val="06290F05"/>
    <w:rsid w:val="07747DD4"/>
    <w:rsid w:val="078F02DA"/>
    <w:rsid w:val="07D00503"/>
    <w:rsid w:val="0878647D"/>
    <w:rsid w:val="08B651F8"/>
    <w:rsid w:val="08BF63B1"/>
    <w:rsid w:val="08C10A5B"/>
    <w:rsid w:val="090B0D37"/>
    <w:rsid w:val="09FC40F3"/>
    <w:rsid w:val="0A1B7554"/>
    <w:rsid w:val="0A357B18"/>
    <w:rsid w:val="0A55161A"/>
    <w:rsid w:val="0AB370B0"/>
    <w:rsid w:val="0B4758E7"/>
    <w:rsid w:val="0B80294B"/>
    <w:rsid w:val="0C3C0FC4"/>
    <w:rsid w:val="0C6A72D5"/>
    <w:rsid w:val="0C8D16BA"/>
    <w:rsid w:val="0CAA5E52"/>
    <w:rsid w:val="0CFB35D7"/>
    <w:rsid w:val="0D64145F"/>
    <w:rsid w:val="0E0D58BA"/>
    <w:rsid w:val="0E235429"/>
    <w:rsid w:val="0E423410"/>
    <w:rsid w:val="0EBF198B"/>
    <w:rsid w:val="0EFF6C2C"/>
    <w:rsid w:val="0F4F60B3"/>
    <w:rsid w:val="0F661C2C"/>
    <w:rsid w:val="0FA3397F"/>
    <w:rsid w:val="0FC13C35"/>
    <w:rsid w:val="10CE4A51"/>
    <w:rsid w:val="1299589E"/>
    <w:rsid w:val="12D444EA"/>
    <w:rsid w:val="13C63E8D"/>
    <w:rsid w:val="14394F62"/>
    <w:rsid w:val="16577543"/>
    <w:rsid w:val="16847857"/>
    <w:rsid w:val="169546E8"/>
    <w:rsid w:val="16FC2450"/>
    <w:rsid w:val="17150D46"/>
    <w:rsid w:val="17313640"/>
    <w:rsid w:val="17616AD0"/>
    <w:rsid w:val="19FE73AC"/>
    <w:rsid w:val="1A5C37E9"/>
    <w:rsid w:val="1ACB2110"/>
    <w:rsid w:val="1C6B037B"/>
    <w:rsid w:val="1C7A62D3"/>
    <w:rsid w:val="1CA428AF"/>
    <w:rsid w:val="1D354424"/>
    <w:rsid w:val="1DDA6590"/>
    <w:rsid w:val="1EB67072"/>
    <w:rsid w:val="1EDB087D"/>
    <w:rsid w:val="1F243BC5"/>
    <w:rsid w:val="1F9C5110"/>
    <w:rsid w:val="1FE65F10"/>
    <w:rsid w:val="200F13EB"/>
    <w:rsid w:val="20AF40D0"/>
    <w:rsid w:val="21466CC1"/>
    <w:rsid w:val="21537192"/>
    <w:rsid w:val="21560C95"/>
    <w:rsid w:val="21BC0EC6"/>
    <w:rsid w:val="21C27BCD"/>
    <w:rsid w:val="21F636F1"/>
    <w:rsid w:val="22350AE4"/>
    <w:rsid w:val="22E45940"/>
    <w:rsid w:val="23AB5887"/>
    <w:rsid w:val="256965C6"/>
    <w:rsid w:val="266C1428"/>
    <w:rsid w:val="26D95479"/>
    <w:rsid w:val="27651C34"/>
    <w:rsid w:val="27760E3F"/>
    <w:rsid w:val="27930786"/>
    <w:rsid w:val="28DB56D1"/>
    <w:rsid w:val="29490F27"/>
    <w:rsid w:val="29653787"/>
    <w:rsid w:val="2B2075C6"/>
    <w:rsid w:val="2B4B134D"/>
    <w:rsid w:val="2B60504C"/>
    <w:rsid w:val="2B730E83"/>
    <w:rsid w:val="2BF67A1A"/>
    <w:rsid w:val="2CAB299E"/>
    <w:rsid w:val="2CD635BC"/>
    <w:rsid w:val="2CE82DA4"/>
    <w:rsid w:val="2D242643"/>
    <w:rsid w:val="2D6A78B0"/>
    <w:rsid w:val="2DB73ED1"/>
    <w:rsid w:val="2DD86D24"/>
    <w:rsid w:val="2DE22233"/>
    <w:rsid w:val="2E784832"/>
    <w:rsid w:val="2E9C64E9"/>
    <w:rsid w:val="2ECE231E"/>
    <w:rsid w:val="2EF91817"/>
    <w:rsid w:val="2F434701"/>
    <w:rsid w:val="2F9024F3"/>
    <w:rsid w:val="306110D2"/>
    <w:rsid w:val="30B3165E"/>
    <w:rsid w:val="30E72BE0"/>
    <w:rsid w:val="31051355"/>
    <w:rsid w:val="31574250"/>
    <w:rsid w:val="326224B4"/>
    <w:rsid w:val="32B27174"/>
    <w:rsid w:val="331E3AD0"/>
    <w:rsid w:val="3344077F"/>
    <w:rsid w:val="337A09FF"/>
    <w:rsid w:val="3454356A"/>
    <w:rsid w:val="34771612"/>
    <w:rsid w:val="34945A8E"/>
    <w:rsid w:val="35741E7D"/>
    <w:rsid w:val="35B94061"/>
    <w:rsid w:val="360A608E"/>
    <w:rsid w:val="371E6D39"/>
    <w:rsid w:val="38040803"/>
    <w:rsid w:val="39113C01"/>
    <w:rsid w:val="392E45F8"/>
    <w:rsid w:val="39AF1CEE"/>
    <w:rsid w:val="3A3C2447"/>
    <w:rsid w:val="3A485F48"/>
    <w:rsid w:val="3A675015"/>
    <w:rsid w:val="3B173655"/>
    <w:rsid w:val="3B6554F2"/>
    <w:rsid w:val="3C3245BF"/>
    <w:rsid w:val="3C6B651F"/>
    <w:rsid w:val="3CB11011"/>
    <w:rsid w:val="3CDA36BD"/>
    <w:rsid w:val="3CE35201"/>
    <w:rsid w:val="3DB9284E"/>
    <w:rsid w:val="3E2E3569"/>
    <w:rsid w:val="3E4B03DB"/>
    <w:rsid w:val="3EC8622A"/>
    <w:rsid w:val="3FA770CC"/>
    <w:rsid w:val="3FAC0087"/>
    <w:rsid w:val="3FB73CC3"/>
    <w:rsid w:val="406C44FF"/>
    <w:rsid w:val="41093418"/>
    <w:rsid w:val="414E10E6"/>
    <w:rsid w:val="418D2A93"/>
    <w:rsid w:val="41940CFD"/>
    <w:rsid w:val="42326197"/>
    <w:rsid w:val="42EF5355"/>
    <w:rsid w:val="44311A8F"/>
    <w:rsid w:val="44B46340"/>
    <w:rsid w:val="44B86E4E"/>
    <w:rsid w:val="44F92DFD"/>
    <w:rsid w:val="4552057C"/>
    <w:rsid w:val="45A847A1"/>
    <w:rsid w:val="46AE5951"/>
    <w:rsid w:val="46B0680B"/>
    <w:rsid w:val="48AC43BE"/>
    <w:rsid w:val="48DE483E"/>
    <w:rsid w:val="491B03A1"/>
    <w:rsid w:val="492E3AF2"/>
    <w:rsid w:val="49426439"/>
    <w:rsid w:val="49997B9B"/>
    <w:rsid w:val="4A034860"/>
    <w:rsid w:val="4A995654"/>
    <w:rsid w:val="4B3019CE"/>
    <w:rsid w:val="4B6432BD"/>
    <w:rsid w:val="4BE01C51"/>
    <w:rsid w:val="4C0E75DE"/>
    <w:rsid w:val="4C217B22"/>
    <w:rsid w:val="4CA97B91"/>
    <w:rsid w:val="4CCE76C9"/>
    <w:rsid w:val="4D9B3502"/>
    <w:rsid w:val="4EAE5CE0"/>
    <w:rsid w:val="4F5F3251"/>
    <w:rsid w:val="4F65351C"/>
    <w:rsid w:val="504A46EB"/>
    <w:rsid w:val="514A2BE0"/>
    <w:rsid w:val="5187601C"/>
    <w:rsid w:val="51A32074"/>
    <w:rsid w:val="526D473F"/>
    <w:rsid w:val="52BF7E8E"/>
    <w:rsid w:val="52CA3FCB"/>
    <w:rsid w:val="53F561A1"/>
    <w:rsid w:val="55322ADD"/>
    <w:rsid w:val="55A13C64"/>
    <w:rsid w:val="56183F14"/>
    <w:rsid w:val="56473713"/>
    <w:rsid w:val="56797ECE"/>
    <w:rsid w:val="568835A5"/>
    <w:rsid w:val="57AD5681"/>
    <w:rsid w:val="58533794"/>
    <w:rsid w:val="58A3441E"/>
    <w:rsid w:val="592674B1"/>
    <w:rsid w:val="59467D9F"/>
    <w:rsid w:val="59583222"/>
    <w:rsid w:val="59A072E4"/>
    <w:rsid w:val="59FF7315"/>
    <w:rsid w:val="5A175510"/>
    <w:rsid w:val="5ACA50DD"/>
    <w:rsid w:val="5ACC0C28"/>
    <w:rsid w:val="5B9A7060"/>
    <w:rsid w:val="5BE17D38"/>
    <w:rsid w:val="5C1B7C8B"/>
    <w:rsid w:val="5CF4080B"/>
    <w:rsid w:val="5D171D6B"/>
    <w:rsid w:val="5D3A49F0"/>
    <w:rsid w:val="5E624623"/>
    <w:rsid w:val="5E8E2734"/>
    <w:rsid w:val="5E905AF5"/>
    <w:rsid w:val="5EC73B53"/>
    <w:rsid w:val="5EDC16B8"/>
    <w:rsid w:val="5F652942"/>
    <w:rsid w:val="5F9A3E1F"/>
    <w:rsid w:val="60757D0F"/>
    <w:rsid w:val="61374DB3"/>
    <w:rsid w:val="61DA2D56"/>
    <w:rsid w:val="628C1BC9"/>
    <w:rsid w:val="62BD432E"/>
    <w:rsid w:val="62D00E2B"/>
    <w:rsid w:val="62E1045E"/>
    <w:rsid w:val="6320035F"/>
    <w:rsid w:val="63F76130"/>
    <w:rsid w:val="64226597"/>
    <w:rsid w:val="642F712F"/>
    <w:rsid w:val="64DE36BE"/>
    <w:rsid w:val="65012193"/>
    <w:rsid w:val="652C520C"/>
    <w:rsid w:val="654E3963"/>
    <w:rsid w:val="655F03D7"/>
    <w:rsid w:val="65790C57"/>
    <w:rsid w:val="66EB784E"/>
    <w:rsid w:val="671F6060"/>
    <w:rsid w:val="6766582D"/>
    <w:rsid w:val="67D46EF3"/>
    <w:rsid w:val="69AD3B72"/>
    <w:rsid w:val="69F44BD8"/>
    <w:rsid w:val="6A355386"/>
    <w:rsid w:val="6A7659EF"/>
    <w:rsid w:val="6AED673C"/>
    <w:rsid w:val="6BC8442A"/>
    <w:rsid w:val="6C767A56"/>
    <w:rsid w:val="6CE60058"/>
    <w:rsid w:val="6D1700DB"/>
    <w:rsid w:val="6D723F67"/>
    <w:rsid w:val="6D9B41E1"/>
    <w:rsid w:val="6DB0561F"/>
    <w:rsid w:val="6DC30EDC"/>
    <w:rsid w:val="6EE53151"/>
    <w:rsid w:val="6FAF4BDB"/>
    <w:rsid w:val="706920B1"/>
    <w:rsid w:val="71297805"/>
    <w:rsid w:val="712D6E14"/>
    <w:rsid w:val="7156291F"/>
    <w:rsid w:val="72A66B8C"/>
    <w:rsid w:val="730C6FBC"/>
    <w:rsid w:val="733E7B69"/>
    <w:rsid w:val="74E927C3"/>
    <w:rsid w:val="74FC0904"/>
    <w:rsid w:val="750426D4"/>
    <w:rsid w:val="76526228"/>
    <w:rsid w:val="76D775AE"/>
    <w:rsid w:val="77203425"/>
    <w:rsid w:val="776B7EDA"/>
    <w:rsid w:val="77B5AF80"/>
    <w:rsid w:val="77B80F68"/>
    <w:rsid w:val="78A74EEA"/>
    <w:rsid w:val="78E47CF9"/>
    <w:rsid w:val="792D2263"/>
    <w:rsid w:val="79A76B9C"/>
    <w:rsid w:val="79E92D80"/>
    <w:rsid w:val="7A002FF6"/>
    <w:rsid w:val="7A651C21"/>
    <w:rsid w:val="7AFC126E"/>
    <w:rsid w:val="7B2E1604"/>
    <w:rsid w:val="7B5971BC"/>
    <w:rsid w:val="7B8B07EF"/>
    <w:rsid w:val="7BE0588E"/>
    <w:rsid w:val="7C450384"/>
    <w:rsid w:val="7C500288"/>
    <w:rsid w:val="7D8D2EDE"/>
    <w:rsid w:val="7D9615AC"/>
    <w:rsid w:val="7DC973D5"/>
    <w:rsid w:val="7DCE44F1"/>
    <w:rsid w:val="7E9A7EBF"/>
    <w:rsid w:val="7EB904FD"/>
    <w:rsid w:val="7EB9296F"/>
    <w:rsid w:val="7EBD028B"/>
    <w:rsid w:val="7EFE6F09"/>
    <w:rsid w:val="7F3DA6DB"/>
    <w:rsid w:val="7F877727"/>
    <w:rsid w:val="7FC3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basedOn w:val="1"/>
    <w:next w:val="1"/>
    <w:link w:val="31"/>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3">
    <w:name w:val="heading 2"/>
    <w:basedOn w:val="1"/>
    <w:next w:val="1"/>
    <w:link w:val="32"/>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4">
    <w:name w:val="heading 3"/>
    <w:basedOn w:val="1"/>
    <w:next w:val="1"/>
    <w:link w:val="35"/>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5">
    <w:name w:val="heading 4"/>
    <w:next w:val="6"/>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6"/>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6"/>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6"/>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6"/>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25">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annotation text"/>
    <w:basedOn w:val="1"/>
    <w:link w:val="36"/>
    <w:qFormat/>
    <w:uiPriority w:val="0"/>
    <w:pPr>
      <w:jc w:val="left"/>
    </w:pPr>
  </w:style>
  <w:style w:type="paragraph" w:styleId="13">
    <w:name w:val="Body Text Indent"/>
    <w:basedOn w:val="1"/>
    <w:qFormat/>
    <w:uiPriority w:val="0"/>
    <w:pPr>
      <w:ind w:firstLine="560" w:firstLineChars="200"/>
    </w:pPr>
    <w:rPr>
      <w:sz w:val="28"/>
    </w:rPr>
  </w:style>
  <w:style w:type="paragraph" w:styleId="14">
    <w:name w:val="footer"/>
    <w:basedOn w:val="1"/>
    <w:link w:val="34"/>
    <w:qFormat/>
    <w:uiPriority w:val="0"/>
    <w:pPr>
      <w:tabs>
        <w:tab w:val="center" w:pos="4153"/>
        <w:tab w:val="right" w:pos="8306"/>
      </w:tabs>
      <w:snapToGrid w:val="0"/>
      <w:jc w:val="left"/>
    </w:pPr>
    <w:rPr>
      <w:sz w:val="18"/>
    </w:rPr>
  </w:style>
  <w:style w:type="paragraph" w:styleId="15">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Subtitle"/>
    <w:basedOn w:val="1"/>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Title"/>
    <w:basedOn w:val="1"/>
    <w:next w:val="6"/>
    <w:qFormat/>
    <w:uiPriority w:val="10"/>
    <w:pPr>
      <w:spacing w:line="240" w:lineRule="auto"/>
      <w:ind w:firstLine="0" w:firstLineChars="0"/>
      <w:jc w:val="center"/>
      <w:outlineLvl w:val="9"/>
    </w:pPr>
    <w:rPr>
      <w:rFonts w:asciiTheme="majorEastAsia" w:hAnsiTheme="majorEastAsia"/>
      <w:b/>
      <w:sz w:val="52"/>
      <w:szCs w:val="44"/>
    </w:rPr>
  </w:style>
  <w:style w:type="paragraph" w:styleId="21">
    <w:name w:val="annotation subject"/>
    <w:basedOn w:val="12"/>
    <w:next w:val="12"/>
    <w:link w:val="37"/>
    <w:qFormat/>
    <w:uiPriority w:val="0"/>
    <w:rPr>
      <w:b/>
    </w:rPr>
  </w:style>
  <w:style w:type="paragraph" w:styleId="22">
    <w:name w:val="Body Text First Indent"/>
    <w:basedOn w:val="6"/>
    <w:qFormat/>
    <w:uiPriority w:val="0"/>
    <w:pPr>
      <w:ind w:firstLine="420" w:firstLineChars="1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rFonts w:ascii="Arial" w:hAnsi="Arial" w:eastAsia="黑体"/>
      <w:b/>
      <w:color w:val="4472C4" w:themeColor="accent1"/>
      <w:u w:val="single"/>
      <w14:textFill>
        <w14:solidFill>
          <w14:schemeClr w14:val="accent1"/>
        </w14:solidFill>
      </w14:textFill>
    </w:rPr>
  </w:style>
  <w:style w:type="character" w:styleId="27">
    <w:name w:val="page number"/>
    <w:basedOn w:val="25"/>
    <w:qFormat/>
    <w:uiPriority w:val="0"/>
  </w:style>
  <w:style w:type="character" w:styleId="28">
    <w:name w:val="Emphasis"/>
    <w:basedOn w:val="25"/>
    <w:qFormat/>
    <w:uiPriority w:val="20"/>
    <w:rPr>
      <w:rFonts w:ascii="Arial" w:hAnsi="Arial" w:eastAsia="黑体"/>
      <w:b/>
      <w:bCs/>
      <w:i/>
      <w:color w:val="C00000"/>
      <w:sz w:val="24"/>
      <w:szCs w:val="22"/>
    </w:rPr>
  </w:style>
  <w:style w:type="character" w:styleId="29">
    <w:name w:val="annotation reference"/>
    <w:basedOn w:val="25"/>
    <w:qFormat/>
    <w:uiPriority w:val="0"/>
    <w:rPr>
      <w:sz w:val="21"/>
    </w:rPr>
  </w:style>
  <w:style w:type="paragraph" w:customStyle="1" w:styleId="30">
    <w:name w:val="列出段落1"/>
    <w:basedOn w:val="1"/>
    <w:qFormat/>
    <w:uiPriority w:val="0"/>
    <w:pPr>
      <w:ind w:firstLine="420" w:firstLineChars="200"/>
    </w:pPr>
    <w:rPr>
      <w:rFonts w:ascii="Calibri" w:hAnsi="Calibri" w:eastAsia="宋体" w:cs="Times New Roman"/>
      <w:szCs w:val="21"/>
    </w:rPr>
  </w:style>
  <w:style w:type="character" w:customStyle="1" w:styleId="31">
    <w:name w:val="标题 1 字符"/>
    <w:link w:val="2"/>
    <w:qFormat/>
    <w:uiPriority w:val="9"/>
    <w:rPr>
      <w:rFonts w:eastAsia="黑体" w:asciiTheme="majorEastAsia" w:hAnsiTheme="majorEastAsia" w:cstheme="minorBidi"/>
      <w:b/>
      <w:bCs/>
      <w:kern w:val="44"/>
      <w:sz w:val="40"/>
      <w:szCs w:val="18"/>
      <w:lang w:val="en-US" w:eastAsia="zh-CN" w:bidi="ar-SA"/>
    </w:rPr>
  </w:style>
  <w:style w:type="character" w:customStyle="1" w:styleId="32">
    <w:name w:val="标题 2 字符"/>
    <w:link w:val="3"/>
    <w:qFormat/>
    <w:uiPriority w:val="9"/>
    <w:rPr>
      <w:rFonts w:ascii="Arial" w:hAnsi="Arial" w:eastAsia="黑体" w:cstheme="minorBidi"/>
      <w:b/>
      <w:kern w:val="2"/>
      <w:sz w:val="32"/>
      <w:lang w:val="en-US" w:eastAsia="zh-CN" w:bidi="ar-SA"/>
    </w:rPr>
  </w:style>
  <w:style w:type="character" w:customStyle="1" w:styleId="33">
    <w:name w:val="页眉 字符"/>
    <w:link w:val="15"/>
    <w:qFormat/>
    <w:uiPriority w:val="99"/>
    <w:rPr>
      <w:sz w:val="18"/>
    </w:rPr>
  </w:style>
  <w:style w:type="character" w:customStyle="1" w:styleId="34">
    <w:name w:val="页脚 字符"/>
    <w:link w:val="14"/>
    <w:qFormat/>
    <w:uiPriority w:val="99"/>
    <w:rPr>
      <w:sz w:val="18"/>
    </w:rPr>
  </w:style>
  <w:style w:type="character" w:customStyle="1" w:styleId="35">
    <w:name w:val="标题 3 字符"/>
    <w:link w:val="4"/>
    <w:qFormat/>
    <w:uiPriority w:val="9"/>
    <w:rPr>
      <w:rFonts w:ascii="Arial" w:hAnsi="Arial" w:eastAsia="黑体" w:cstheme="minorBidi"/>
      <w:b/>
      <w:kern w:val="2"/>
      <w:sz w:val="30"/>
      <w:szCs w:val="30"/>
      <w:lang w:val="en-US" w:eastAsia="zh-CN" w:bidi="ar-SA"/>
    </w:rPr>
  </w:style>
  <w:style w:type="character" w:customStyle="1" w:styleId="36">
    <w:name w:val="批注文字 字符"/>
    <w:link w:val="12"/>
    <w:semiHidden/>
    <w:qFormat/>
    <w:uiPriority w:val="99"/>
  </w:style>
  <w:style w:type="character" w:customStyle="1" w:styleId="37">
    <w:name w:val="批注主题 字符"/>
    <w:link w:val="21"/>
    <w:semiHidden/>
    <w:qFormat/>
    <w:uiPriority w:val="99"/>
    <w:rPr>
      <w:b/>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List Paragraph"/>
    <w:basedOn w:val="1"/>
    <w:qFormat/>
    <w:uiPriority w:val="0"/>
    <w:pPr>
      <w:ind w:firstLine="420" w:firstLineChars="200"/>
    </w:pPr>
  </w:style>
  <w:style w:type="character" w:customStyle="1" w:styleId="41">
    <w:name w:val="font51"/>
    <w:basedOn w:val="25"/>
    <w:qFormat/>
    <w:uiPriority w:val="0"/>
    <w:rPr>
      <w:rFonts w:ascii="宋体" w:hAnsi="宋体" w:eastAsia="宋体" w:cs="宋体"/>
      <w:color w:val="000000"/>
      <w:sz w:val="22"/>
      <w:szCs w:val="22"/>
      <w:u w:val="none"/>
    </w:rPr>
  </w:style>
  <w:style w:type="character" w:customStyle="1" w:styleId="42">
    <w:name w:val="font31"/>
    <w:basedOn w:val="25"/>
    <w:qFormat/>
    <w:uiPriority w:val="0"/>
    <w:rPr>
      <w:rFonts w:hint="eastAsia" w:ascii="宋体" w:hAnsi="宋体" w:eastAsia="宋体" w:cs="宋体"/>
      <w:color w:val="000000"/>
      <w:sz w:val="22"/>
      <w:szCs w:val="22"/>
      <w:u w:val="none"/>
    </w:rPr>
  </w:style>
  <w:style w:type="character" w:customStyle="1" w:styleId="43">
    <w:name w:val="font101"/>
    <w:basedOn w:val="25"/>
    <w:qFormat/>
    <w:uiPriority w:val="0"/>
    <w:rPr>
      <w:rFonts w:hint="eastAsia" w:ascii="宋体" w:hAnsi="宋体" w:eastAsia="宋体" w:cs="宋体"/>
      <w:color w:val="000000"/>
      <w:sz w:val="24"/>
      <w:szCs w:val="24"/>
      <w:u w:val="none"/>
      <w:vertAlign w:val="superscript"/>
    </w:rPr>
  </w:style>
  <w:style w:type="character" w:customStyle="1" w:styleId="44">
    <w:name w:val="font11"/>
    <w:basedOn w:val="25"/>
    <w:qFormat/>
    <w:uiPriority w:val="0"/>
    <w:rPr>
      <w:rFonts w:hint="eastAsia" w:ascii="宋体" w:hAnsi="宋体" w:eastAsia="宋体" w:cs="宋体"/>
      <w:color w:val="000000"/>
      <w:sz w:val="22"/>
      <w:szCs w:val="22"/>
      <w:u w:val="none"/>
    </w:rPr>
  </w:style>
  <w:style w:type="character" w:customStyle="1" w:styleId="45">
    <w:name w:val="font41"/>
    <w:basedOn w:val="25"/>
    <w:qFormat/>
    <w:uiPriority w:val="0"/>
    <w:rPr>
      <w:rFonts w:hint="eastAsia" w:ascii="宋体" w:hAnsi="宋体" w:eastAsia="宋体" w:cs="宋体"/>
      <w:color w:val="000000"/>
      <w:sz w:val="22"/>
      <w:szCs w:val="22"/>
      <w:u w:val="none"/>
      <w:vertAlign w:val="superscript"/>
    </w:rPr>
  </w:style>
  <w:style w:type="character" w:customStyle="1" w:styleId="46">
    <w:name w:val="font21"/>
    <w:basedOn w:val="25"/>
    <w:qFormat/>
    <w:uiPriority w:val="0"/>
    <w:rPr>
      <w:rFonts w:hint="eastAsia" w:ascii="宋体" w:hAnsi="宋体" w:eastAsia="宋体" w:cs="宋体"/>
      <w:color w:val="000000"/>
      <w:sz w:val="22"/>
      <w:szCs w:val="22"/>
      <w:u w:val="none"/>
    </w:rPr>
  </w:style>
  <w:style w:type="paragraph" w:customStyle="1" w:styleId="4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1350</Words>
  <Characters>1437</Characters>
  <Lines>119</Lines>
  <Paragraphs>33</Paragraphs>
  <TotalTime>2</TotalTime>
  <ScaleCrop>false</ScaleCrop>
  <LinksUpToDate>false</LinksUpToDate>
  <CharactersWithSpaces>1518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2021-08-04T23:26:00Z</dcterms:created>
  <dc:creator>jiang man</dc:creator>
  <cp:lastModifiedBy>guest</cp:lastModifiedBy>
  <cp:lastPrinted>2024-08-08T23:30:00Z</cp:lastPrinted>
  <dcterms:modified xsi:type="dcterms:W3CDTF">2025-12-09T14:53:56Z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9A550FEA901A4C8B9FD8DB956BF712AE_13</vt:lpwstr>
  </property>
  <property fmtid="{D5CDD505-2E9C-101B-9397-08002B2CF9AE}" pid="4" name="KSOTemplateDocerSaveRecord">
    <vt:lpwstr>eyJoZGlkIjoiMmFiMjcxNzVkZmE5ZjM0ZGQ2MWI0N2MzOGUyOTM1MGQiLCJ1c2VySWQiOiIzNDYwNDE0NzEifQ==</vt:lpwstr>
  </property>
</Properties>
</file>