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lang w:eastAsia="zh-CN"/>
        </w:rPr>
      </w:pPr>
      <w:bookmarkStart w:id="0" w:name="_Toc14512"/>
      <w:bookmarkStart w:id="1" w:name="_Toc23"/>
      <w:bookmarkStart w:id="2" w:name="_Toc21343"/>
      <w:bookmarkStart w:id="3" w:name="_Toc23652"/>
    </w:p>
    <w:bookmarkEnd w:id="0"/>
    <w:bookmarkEnd w:id="1"/>
    <w:bookmarkEnd w:id="2"/>
    <w:bookmarkEnd w:id="3"/>
    <w:p>
      <w:pPr>
        <w:keepNext w:val="0"/>
        <w:keepLines w:val="0"/>
        <w:pageBreakBefore w:val="0"/>
        <w:tabs>
          <w:tab w:val="left" w:pos="3803"/>
        </w:tabs>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bCs w:val="0"/>
          <w:sz w:val="44"/>
          <w:szCs w:val="44"/>
          <w:highlight w:val="none"/>
          <w:lang w:val="en-US" w:eastAsia="zh-CN"/>
        </w:rPr>
      </w:pPr>
      <w:bookmarkStart w:id="4" w:name="_Toc8219"/>
      <w:bookmarkStart w:id="5" w:name="_Toc24089"/>
      <w:r>
        <w:rPr>
          <w:rFonts w:hint="eastAsia" w:ascii="方正小标宋_GBK" w:hAnsi="方正小标宋_GBK" w:eastAsia="方正小标宋_GBK" w:cs="方正小标宋_GBK"/>
          <w:b/>
          <w:bCs w:val="0"/>
          <w:sz w:val="44"/>
          <w:szCs w:val="44"/>
          <w:highlight w:val="none"/>
          <w:lang w:val="en-US" w:eastAsia="zh-CN"/>
        </w:rPr>
        <w:t>咸宁市成功矿业有限公司矿山</w:t>
      </w:r>
      <w:r>
        <w:rPr>
          <w:rFonts w:hint="eastAsia" w:ascii="方正小标宋_GBK" w:hAnsi="方正小标宋_GBK" w:eastAsia="方正小标宋_GBK" w:cs="方正小标宋_GBK"/>
          <w:b/>
          <w:bCs w:val="0"/>
          <w:sz w:val="44"/>
          <w:szCs w:val="44"/>
          <w:highlight w:val="none"/>
          <w:lang w:eastAsia="zh-CN"/>
        </w:rPr>
        <w:t>生态</w:t>
      </w:r>
    </w:p>
    <w:p>
      <w:pPr>
        <w:keepNext w:val="0"/>
        <w:keepLines w:val="0"/>
        <w:pageBreakBefore w:val="0"/>
        <w:tabs>
          <w:tab w:val="left" w:pos="3803"/>
        </w:tabs>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bCs w:val="0"/>
          <w:color w:val="auto"/>
          <w:sz w:val="44"/>
          <w:szCs w:val="44"/>
          <w:highlight w:val="none"/>
          <w:lang w:eastAsia="zh-CN"/>
        </w:rPr>
      </w:pPr>
      <w:r>
        <w:rPr>
          <w:rFonts w:hint="eastAsia" w:ascii="方正小标宋_GBK" w:hAnsi="方正小标宋_GBK" w:eastAsia="方正小标宋_GBK" w:cs="方正小标宋_GBK"/>
          <w:b/>
          <w:bCs w:val="0"/>
          <w:sz w:val="44"/>
          <w:szCs w:val="44"/>
          <w:highlight w:val="none"/>
          <w:lang w:eastAsia="zh-CN"/>
        </w:rPr>
        <w:t>修复</w:t>
      </w:r>
      <w:r>
        <w:rPr>
          <w:rFonts w:hint="eastAsia" w:ascii="方正小标宋_GBK" w:hAnsi="方正小标宋_GBK" w:eastAsia="方正小标宋_GBK" w:cs="方正小标宋_GBK"/>
          <w:b/>
          <w:bCs w:val="0"/>
          <w:sz w:val="44"/>
          <w:szCs w:val="44"/>
          <w:highlight w:val="none"/>
          <w:lang w:val="en-US" w:eastAsia="zh-CN"/>
        </w:rPr>
        <w:t>治理</w:t>
      </w:r>
      <w:r>
        <w:rPr>
          <w:rFonts w:hint="eastAsia" w:ascii="方正小标宋_GBK" w:hAnsi="方正小标宋_GBK" w:eastAsia="方正小标宋_GBK" w:cs="方正小标宋_GBK"/>
          <w:b/>
          <w:bCs w:val="0"/>
          <w:sz w:val="44"/>
          <w:szCs w:val="44"/>
          <w:highlight w:val="none"/>
          <w:lang w:eastAsia="zh-CN"/>
        </w:rPr>
        <w:t>工程</w:t>
      </w:r>
      <w:bookmarkStart w:id="6" w:name="_Toc32122"/>
      <w:bookmarkStart w:id="7" w:name="_Toc23037"/>
      <w:r>
        <w:rPr>
          <w:rFonts w:hint="eastAsia" w:ascii="方正小标宋_GBK" w:hAnsi="方正小标宋_GBK" w:eastAsia="方正小标宋_GBK" w:cs="方正小标宋_GBK"/>
          <w:b/>
          <w:bCs w:val="0"/>
          <w:color w:val="auto"/>
          <w:sz w:val="44"/>
          <w:szCs w:val="44"/>
          <w:highlight w:val="none"/>
          <w:lang w:eastAsia="zh-CN"/>
        </w:rPr>
        <w:t>绩效评价报告</w:t>
      </w:r>
      <w:bookmarkEnd w:id="4"/>
      <w:bookmarkEnd w:id="5"/>
      <w:bookmarkEnd w:id="6"/>
      <w:bookmarkEnd w:id="7"/>
    </w:p>
    <w:p>
      <w:pPr>
        <w:pStyle w:val="22"/>
        <w:keepNext w:val="0"/>
        <w:keepLines w:val="0"/>
        <w:pageBreakBefore w:val="0"/>
        <w:kinsoku/>
        <w:wordWrap/>
        <w:overflowPunct/>
        <w:topLinePunct w:val="0"/>
        <w:autoSpaceDE/>
        <w:autoSpaceDN/>
        <w:bidi w:val="0"/>
        <w:spacing w:line="560" w:lineRule="exact"/>
        <w:jc w:val="center"/>
        <w:textAlignment w:val="auto"/>
        <w:rPr>
          <w:rFonts w:hint="eastAsia" w:ascii="楷体" w:hAnsi="楷体" w:eastAsia="楷体" w:cs="楷体"/>
          <w:sz w:val="32"/>
          <w:szCs w:val="32"/>
          <w:highlight w:val="none"/>
          <w:lang w:val="en-US"/>
        </w:rPr>
      </w:pPr>
    </w:p>
    <w:p>
      <w:pPr>
        <w:pStyle w:val="22"/>
        <w:keepNext w:val="0"/>
        <w:keepLines w:val="0"/>
        <w:pageBreakBefore w:val="0"/>
        <w:kinsoku/>
        <w:wordWrap/>
        <w:overflowPunct/>
        <w:topLinePunct w:val="0"/>
        <w:autoSpaceDE/>
        <w:autoSpaceDN/>
        <w:bidi w:val="0"/>
        <w:spacing w:before="156" w:after="156" w:line="560" w:lineRule="exact"/>
        <w:jc w:val="center"/>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豫德</w:t>
      </w:r>
      <w:r>
        <w:rPr>
          <w:rFonts w:hint="eastAsia" w:ascii="楷体" w:hAnsi="楷体" w:eastAsia="楷体" w:cs="楷体"/>
          <w:color w:val="auto"/>
          <w:sz w:val="32"/>
          <w:szCs w:val="32"/>
          <w:highlight w:val="none"/>
        </w:rPr>
        <w:t>评</w:t>
      </w:r>
      <w:r>
        <w:rPr>
          <w:rFonts w:hint="eastAsia" w:ascii="楷体" w:hAnsi="楷体" w:eastAsia="楷体" w:cs="楷体"/>
          <w:color w:val="auto"/>
          <w:sz w:val="32"/>
          <w:szCs w:val="32"/>
          <w:highlight w:val="none"/>
          <w:lang w:val="en-US" w:eastAsia="zh-CN"/>
        </w:rPr>
        <w:t>字</w:t>
      </w:r>
      <w:r>
        <w:rPr>
          <w:rFonts w:hint="eastAsia" w:ascii="楷体" w:hAnsi="楷体" w:eastAsia="楷体" w:cs="楷体"/>
          <w:color w:val="auto"/>
          <w:sz w:val="32"/>
          <w:szCs w:val="32"/>
          <w:highlight w:val="none"/>
        </w:rPr>
        <w:t>[202</w:t>
      </w:r>
      <w:r>
        <w:rPr>
          <w:rFonts w:hint="eastAsia" w:ascii="楷体" w:hAnsi="楷体" w:eastAsia="楷体" w:cs="楷体"/>
          <w:color w:val="auto"/>
          <w:sz w:val="32"/>
          <w:szCs w:val="32"/>
          <w:highlight w:val="none"/>
          <w:lang w:val="en-US" w:eastAsia="zh-CN"/>
        </w:rPr>
        <w:t>5]1023</w:t>
      </w:r>
      <w:r>
        <w:rPr>
          <w:rFonts w:hint="eastAsia" w:ascii="楷体" w:hAnsi="楷体" w:eastAsia="楷体" w:cs="楷体"/>
          <w:color w:val="auto"/>
          <w:sz w:val="32"/>
          <w:szCs w:val="32"/>
          <w:highlight w:val="none"/>
        </w:rPr>
        <w:t>号</w:t>
      </w:r>
    </w:p>
    <w:p>
      <w:pPr>
        <w:pStyle w:val="22"/>
        <w:keepNext w:val="0"/>
        <w:keepLines w:val="0"/>
        <w:pageBreakBefore w:val="0"/>
        <w:kinsoku/>
        <w:wordWrap/>
        <w:overflowPunct/>
        <w:topLinePunct w:val="0"/>
        <w:autoSpaceDE/>
        <w:autoSpaceDN/>
        <w:bidi w:val="0"/>
        <w:spacing w:before="156" w:after="156" w:line="560" w:lineRule="exact"/>
        <w:textAlignment w:val="auto"/>
        <w:rPr>
          <w:rFonts w:hint="eastAsia" w:ascii="楷体" w:hAnsi="楷体" w:eastAsia="楷体" w:cs="楷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sz w:val="32"/>
          <w:szCs w:val="32"/>
          <w:highlight w:val="none"/>
          <w:u w:val="none"/>
          <w:lang w:val="zh-CN"/>
        </w:rPr>
        <w:t>河南德利达会计师事务所（普通合伙）</w:t>
      </w:r>
      <w:r>
        <w:rPr>
          <w:rFonts w:hint="eastAsia" w:ascii="仿宋" w:hAnsi="仿宋" w:eastAsia="仿宋" w:cs="仿宋"/>
          <w:b w:val="0"/>
          <w:bCs w:val="0"/>
          <w:kern w:val="2"/>
          <w:sz w:val="32"/>
          <w:szCs w:val="32"/>
          <w:highlight w:val="none"/>
          <w:lang w:val="en-US" w:eastAsia="zh-CN" w:bidi="ar-SA"/>
        </w:rPr>
        <w:t>接</w:t>
      </w:r>
      <w:r>
        <w:rPr>
          <w:rFonts w:hint="eastAsia" w:ascii="仿宋" w:hAnsi="仿宋" w:eastAsia="仿宋" w:cs="仿宋"/>
          <w:b w:val="0"/>
          <w:bCs w:val="0"/>
          <w:color w:val="auto"/>
          <w:kern w:val="2"/>
          <w:sz w:val="32"/>
          <w:szCs w:val="32"/>
          <w:highlight w:val="none"/>
          <w:lang w:val="en-US" w:eastAsia="zh-CN" w:bidi="ar-SA"/>
        </w:rPr>
        <w:t>受咸安区财政局委</w:t>
      </w:r>
      <w:r>
        <w:rPr>
          <w:rFonts w:hint="eastAsia" w:ascii="仿宋" w:hAnsi="仿宋" w:eastAsia="仿宋" w:cs="仿宋"/>
          <w:b w:val="0"/>
          <w:bCs w:val="0"/>
          <w:kern w:val="2"/>
          <w:sz w:val="32"/>
          <w:szCs w:val="32"/>
          <w:highlight w:val="none"/>
          <w:lang w:val="en-US" w:eastAsia="zh-CN" w:bidi="ar-SA"/>
        </w:rPr>
        <w:t>托，</w:t>
      </w:r>
      <w:r>
        <w:rPr>
          <w:rFonts w:hint="eastAsia" w:ascii="仿宋" w:hAnsi="仿宋" w:eastAsia="仿宋" w:cs="仿宋"/>
          <w:b w:val="0"/>
          <w:bCs w:val="0"/>
          <w:sz w:val="32"/>
          <w:szCs w:val="32"/>
          <w:highlight w:val="none"/>
          <w:u w:val="none"/>
          <w:lang w:val="en-US" w:eastAsia="zh-CN" w:bidi="en-US"/>
        </w:rPr>
        <w:t>按照</w:t>
      </w:r>
      <w:r>
        <w:rPr>
          <w:rFonts w:hint="eastAsia" w:ascii="仿宋" w:hAnsi="仿宋" w:eastAsia="仿宋"/>
          <w:b w:val="0"/>
          <w:bCs w:val="0"/>
          <w:sz w:val="32"/>
          <w:szCs w:val="32"/>
          <w:highlight w:val="none"/>
        </w:rPr>
        <w:t>《</w:t>
      </w:r>
      <w:r>
        <w:rPr>
          <w:rFonts w:hint="eastAsia" w:ascii="仿宋" w:hAnsi="仿宋" w:eastAsia="仿宋"/>
          <w:b w:val="0"/>
          <w:bCs w:val="0"/>
          <w:sz w:val="32"/>
          <w:szCs w:val="32"/>
          <w:highlight w:val="none"/>
          <w:lang w:val="en-US" w:eastAsia="zh-CN"/>
        </w:rPr>
        <w:t>咸安区关于开展重点项目绩效评价的通知</w:t>
      </w:r>
      <w:r>
        <w:rPr>
          <w:rFonts w:hint="eastAsia" w:ascii="仿宋" w:hAnsi="仿宋" w:eastAsia="仿宋"/>
          <w:b w:val="0"/>
          <w:bCs w:val="0"/>
          <w:sz w:val="32"/>
          <w:szCs w:val="32"/>
          <w:highlight w:val="none"/>
        </w:rPr>
        <w:t>》</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咸财绩函</w:t>
      </w:r>
      <w:r>
        <w:rPr>
          <w:rFonts w:hint="eastAsia" w:ascii="仿宋" w:hAnsi="仿宋" w:eastAsia="仿宋" w:cs="仿宋"/>
          <w:b w:val="0"/>
          <w:bCs w:val="0"/>
          <w:kern w:val="2"/>
          <w:sz w:val="32"/>
          <w:szCs w:val="32"/>
          <w:highlight w:val="none"/>
          <w:lang w:val="en-US" w:eastAsia="zh-CN" w:bidi="ar-SA"/>
        </w:rPr>
        <w:t>〔</w:t>
      </w:r>
      <w:r>
        <w:rPr>
          <w:rFonts w:hint="eastAsia" w:ascii="仿宋" w:hAnsi="仿宋" w:eastAsia="仿宋"/>
          <w:b w:val="0"/>
          <w:bCs w:val="0"/>
          <w:sz w:val="32"/>
          <w:szCs w:val="32"/>
          <w:highlight w:val="none"/>
          <w:lang w:val="en-US" w:eastAsia="zh-CN"/>
        </w:rPr>
        <w:t>2025</w:t>
      </w:r>
      <w:r>
        <w:rPr>
          <w:rFonts w:hint="eastAsia" w:ascii="仿宋" w:hAnsi="仿宋" w:eastAsia="仿宋" w:cs="仿宋"/>
          <w:b w:val="0"/>
          <w:bCs w:val="0"/>
          <w:kern w:val="2"/>
          <w:sz w:val="32"/>
          <w:szCs w:val="32"/>
          <w:highlight w:val="none"/>
          <w:lang w:val="en-US" w:eastAsia="zh-CN" w:bidi="ar-SA"/>
        </w:rPr>
        <w:t>〕</w:t>
      </w:r>
      <w:r>
        <w:rPr>
          <w:rFonts w:hint="eastAsia" w:ascii="仿宋" w:hAnsi="仿宋" w:eastAsia="仿宋"/>
          <w:b w:val="0"/>
          <w:bCs w:val="0"/>
          <w:sz w:val="32"/>
          <w:szCs w:val="32"/>
          <w:highlight w:val="none"/>
          <w:lang w:val="en-US" w:eastAsia="zh-CN"/>
        </w:rPr>
        <w:t>6号）通知要求，</w:t>
      </w:r>
      <w:r>
        <w:rPr>
          <w:rFonts w:hint="eastAsia" w:ascii="仿宋" w:hAnsi="仿宋" w:eastAsia="仿宋" w:cs="仿宋"/>
          <w:b w:val="0"/>
          <w:bCs w:val="0"/>
          <w:kern w:val="2"/>
          <w:sz w:val="32"/>
          <w:szCs w:val="32"/>
          <w:highlight w:val="none"/>
          <w:lang w:val="en-US" w:eastAsia="zh-CN" w:bidi="ar-SA"/>
        </w:rPr>
        <w:t>根据湖北省财政厅绩效评价有关文件规定，结合政府公共预算绩效管理的一般原理，运用科学、规范的评价方法，遵循“科学公正、统筹兼顾、激励约束、公开透明”的基本原则，</w:t>
      </w:r>
      <w:r>
        <w:rPr>
          <w:rFonts w:hint="eastAsia" w:ascii="仿宋" w:hAnsi="仿宋" w:eastAsia="仿宋" w:cs="仿宋"/>
          <w:bCs/>
          <w:caps/>
          <w:sz w:val="32"/>
          <w:szCs w:val="32"/>
          <w:highlight w:val="none"/>
          <w:lang w:val="en-US" w:eastAsia="zh-CN"/>
        </w:rPr>
        <w:t>对咸宁市成功矿业有限公司矿山生态环境修复治理工程</w:t>
      </w:r>
      <w:r>
        <w:rPr>
          <w:rFonts w:hint="eastAsia" w:ascii="仿宋" w:hAnsi="仿宋" w:eastAsia="仿宋" w:cs="仿宋"/>
          <w:b w:val="0"/>
          <w:bCs w:val="0"/>
          <w:kern w:val="2"/>
          <w:sz w:val="32"/>
          <w:szCs w:val="32"/>
          <w:highlight w:val="none"/>
          <w:lang w:val="en-US" w:eastAsia="zh-CN" w:bidi="ar-SA"/>
        </w:rPr>
        <w:t>从</w:t>
      </w:r>
      <w:r>
        <w:rPr>
          <w:rFonts w:hint="eastAsia" w:ascii="仿宋" w:hAnsi="仿宋" w:eastAsia="仿宋" w:cs="仿宋"/>
          <w:b w:val="0"/>
          <w:bCs w:val="0"/>
          <w:sz w:val="32"/>
          <w:szCs w:val="32"/>
          <w:highlight w:val="none"/>
          <w:u w:val="none"/>
          <w:lang w:eastAsia="zh-CN" w:bidi="en-US"/>
        </w:rPr>
        <w:t>项目</w:t>
      </w:r>
      <w:r>
        <w:rPr>
          <w:rFonts w:hint="eastAsia" w:ascii="仿宋" w:hAnsi="仿宋" w:eastAsia="仿宋" w:cs="仿宋"/>
          <w:b w:val="0"/>
          <w:bCs w:val="0"/>
          <w:kern w:val="2"/>
          <w:sz w:val="32"/>
          <w:szCs w:val="32"/>
          <w:highlight w:val="none"/>
          <w:lang w:val="en-US" w:eastAsia="zh-CN" w:bidi="ar-SA"/>
        </w:rPr>
        <w:t>决策、过程、产出和效果等绩效指标完成情况，实施绩效评价,形成本次绩效评价报告。</w:t>
      </w:r>
      <w:bookmarkStart w:id="8" w:name="_Toc7512"/>
      <w:bookmarkStart w:id="9" w:name="_Toc22616"/>
      <w:bookmarkStart w:id="10" w:name="_Toc27763"/>
    </w:p>
    <w:bookmarkEnd w:id="8"/>
    <w:bookmarkEnd w:id="9"/>
    <w:bookmarkEnd w:id="10"/>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楷体" w:hAnsi="楷体" w:eastAsia="楷体" w:cs="楷体"/>
          <w:b/>
          <w:bCs/>
          <w:kern w:val="2"/>
          <w:sz w:val="32"/>
          <w:szCs w:val="32"/>
          <w:highlight w:val="none"/>
          <w:lang w:val="en-US" w:eastAsia="zh-CN" w:bidi="ar-SA"/>
        </w:rPr>
      </w:pPr>
      <w:bookmarkStart w:id="11" w:name="_Toc31468"/>
      <w:bookmarkStart w:id="12" w:name="_Toc21177"/>
      <w:bookmarkStart w:id="13" w:name="_Toc31755"/>
      <w:bookmarkStart w:id="14" w:name="_Toc24184"/>
      <w:bookmarkStart w:id="15" w:name="_Toc22125"/>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 w:hAnsi="仿宋" w:eastAsia="仿宋" w:cs="仿宋"/>
          <w:b w:val="0"/>
          <w:bCs w:val="0"/>
          <w:kern w:val="2"/>
          <w:sz w:val="32"/>
          <w:szCs w:val="32"/>
          <w:highlight w:val="none"/>
          <w:lang w:val="en-US" w:eastAsia="zh-CN" w:bidi="ar-SA"/>
        </w:rPr>
      </w:pPr>
      <w:bookmarkStart w:id="42" w:name="_GoBack"/>
      <w:bookmarkEnd w:id="42"/>
      <w:r>
        <w:rPr>
          <w:rFonts w:hint="eastAsia" w:ascii="楷体" w:hAnsi="楷体" w:eastAsia="楷体" w:cs="楷体"/>
          <w:b/>
          <w:bCs/>
          <w:kern w:val="2"/>
          <w:sz w:val="32"/>
          <w:szCs w:val="32"/>
          <w:highlight w:val="none"/>
          <w:lang w:val="en-US" w:eastAsia="zh-CN" w:bidi="ar-SA"/>
        </w:rPr>
        <w:t>（一）绩效评价分数和等级</w:t>
      </w:r>
      <w:bookmarkEnd w:id="11"/>
      <w:bookmarkEnd w:id="12"/>
      <w:bookmarkEnd w:id="13"/>
      <w:bookmarkEnd w:id="14"/>
      <w:bookmarkEnd w:id="15"/>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通</w:t>
      </w:r>
      <w:r>
        <w:rPr>
          <w:rFonts w:hint="eastAsia" w:ascii="仿宋" w:hAnsi="仿宋" w:eastAsia="仿宋" w:cs="仿宋"/>
          <w:b w:val="0"/>
          <w:bCs w:val="0"/>
          <w:color w:val="auto"/>
          <w:kern w:val="2"/>
          <w:sz w:val="32"/>
          <w:szCs w:val="32"/>
          <w:highlight w:val="none"/>
          <w:lang w:val="en-US" w:eastAsia="zh-CN" w:bidi="ar-SA"/>
        </w:rPr>
        <w:t>过绩效评价指标体系打分，项目绩效评价综合得分</w:t>
      </w:r>
      <w:r>
        <w:rPr>
          <w:rFonts w:hint="eastAsia" w:ascii="仿宋" w:hAnsi="仿宋" w:eastAsia="仿宋" w:cs="仿宋"/>
          <w:bCs/>
          <w:caps/>
          <w:sz w:val="32"/>
          <w:szCs w:val="32"/>
          <w:highlight w:val="none"/>
          <w:lang w:val="en-US" w:eastAsia="zh-CN"/>
        </w:rPr>
        <w:t>84</w:t>
      </w:r>
      <w:r>
        <w:rPr>
          <w:rFonts w:hint="eastAsia" w:ascii="仿宋" w:hAnsi="仿宋" w:eastAsia="仿宋" w:cs="仿宋"/>
          <w:b w:val="0"/>
          <w:bCs w:val="0"/>
          <w:color w:val="auto"/>
          <w:kern w:val="2"/>
          <w:sz w:val="32"/>
          <w:szCs w:val="32"/>
          <w:highlight w:val="none"/>
          <w:lang w:val="en-US" w:eastAsia="zh-CN" w:bidi="ar-SA"/>
        </w:rPr>
        <w:t>分（满分100分），</w:t>
      </w:r>
      <w:r>
        <w:rPr>
          <w:rFonts w:hint="eastAsia" w:ascii="仿宋" w:hAnsi="仿宋" w:eastAsia="仿宋" w:cs="仿宋"/>
          <w:b w:val="0"/>
          <w:bCs w:val="0"/>
          <w:kern w:val="2"/>
          <w:sz w:val="32"/>
          <w:szCs w:val="32"/>
          <w:highlight w:val="none"/>
          <w:lang w:val="en-US" w:eastAsia="zh-CN" w:bidi="ar-SA"/>
        </w:rPr>
        <w:t>依据财政部《项目支出绩效评价管理办法》（财预〔2020〕10号）评价定级标准，该项目绩效评价结果级别为“良”。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绩效评价分数和等级</w:t>
      </w:r>
    </w:p>
    <w:tbl>
      <w:tblPr>
        <w:tblStyle w:val="23"/>
        <w:tblW w:w="7684" w:type="dxa"/>
        <w:jc w:val="center"/>
        <w:tblLayout w:type="fixed"/>
        <w:tblCellMar>
          <w:top w:w="0" w:type="dxa"/>
          <w:left w:w="0" w:type="dxa"/>
          <w:bottom w:w="0" w:type="dxa"/>
          <w:right w:w="0" w:type="dxa"/>
        </w:tblCellMar>
      </w:tblPr>
      <w:tblGrid>
        <w:gridCol w:w="2093"/>
        <w:gridCol w:w="1800"/>
        <w:gridCol w:w="1900"/>
        <w:gridCol w:w="1891"/>
      </w:tblGrid>
      <w:tr>
        <w:tblPrEx>
          <w:tblCellMar>
            <w:top w:w="0" w:type="dxa"/>
            <w:left w:w="0" w:type="dxa"/>
            <w:bottom w:w="0" w:type="dxa"/>
            <w:right w:w="0" w:type="dxa"/>
          </w:tblCellMar>
        </w:tblPrEx>
        <w:trPr>
          <w:trHeight w:val="554"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olor w:val="000000"/>
                <w:sz w:val="32"/>
                <w:szCs w:val="32"/>
                <w:highlight w:val="none"/>
                <w:u w:val="none"/>
              </w:rPr>
            </w:pPr>
            <w:r>
              <w:rPr>
                <w:rFonts w:hint="eastAsia" w:ascii="宋体" w:hAnsi="宋体" w:eastAsia="宋体" w:cs="宋体"/>
                <w:i w:val="0"/>
                <w:color w:val="000000"/>
                <w:kern w:val="0"/>
                <w:sz w:val="32"/>
                <w:szCs w:val="32"/>
                <w:highlight w:val="none"/>
                <w:u w:val="none"/>
                <w:lang w:val="en-US" w:eastAsia="zh-CN" w:bidi="ar"/>
              </w:rPr>
              <w:br w:type="page"/>
            </w:r>
            <w:r>
              <w:rPr>
                <w:rFonts w:hint="eastAsia" w:ascii="仿宋" w:hAnsi="仿宋" w:eastAsia="仿宋" w:cs="仿宋"/>
                <w:i w:val="0"/>
                <w:color w:val="000000"/>
                <w:kern w:val="0"/>
                <w:sz w:val="32"/>
                <w:szCs w:val="32"/>
                <w:highlight w:val="none"/>
                <w:u w:val="none"/>
                <w:lang w:val="en-US" w:eastAsia="zh-CN" w:bidi="ar"/>
              </w:rPr>
              <w:t>项目</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标准分数</w:t>
            </w:r>
          </w:p>
        </w:tc>
        <w:tc>
          <w:tcPr>
            <w:tcW w:w="19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评价得分</w:t>
            </w:r>
          </w:p>
        </w:tc>
        <w:tc>
          <w:tcPr>
            <w:tcW w:w="18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宋体" w:hAnsi="宋体" w:eastAsia="宋体" w:cs="宋体"/>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等级</w:t>
            </w:r>
          </w:p>
        </w:tc>
      </w:tr>
      <w:tr>
        <w:tblPrEx>
          <w:tblCellMar>
            <w:top w:w="0" w:type="dxa"/>
            <w:left w:w="0" w:type="dxa"/>
            <w:bottom w:w="0" w:type="dxa"/>
            <w:right w:w="0" w:type="dxa"/>
          </w:tblCellMar>
        </w:tblPrEx>
        <w:trPr>
          <w:trHeight w:val="461"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决策</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rPr>
            </w:pPr>
            <w:r>
              <w:rPr>
                <w:rFonts w:hint="eastAsia" w:ascii="仿宋" w:hAnsi="仿宋" w:eastAsia="仿宋" w:cs="仿宋"/>
                <w:i w:val="0"/>
                <w:color w:val="000000"/>
                <w:kern w:val="0"/>
                <w:sz w:val="32"/>
                <w:szCs w:val="32"/>
                <w:highlight w:val="none"/>
                <w:u w:val="none"/>
                <w:lang w:val="en-US" w:eastAsia="zh-CN" w:bidi="ar"/>
              </w:rPr>
              <w:t>20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19</w:t>
            </w:r>
          </w:p>
        </w:tc>
        <w:tc>
          <w:tcPr>
            <w:tcW w:w="189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宋体" w:hAnsi="宋体" w:eastAsia="宋体" w:cs="宋体"/>
                <w:i w:val="0"/>
                <w:color w:val="000000"/>
                <w:sz w:val="32"/>
                <w:szCs w:val="32"/>
                <w:highlight w:val="none"/>
                <w:u w:val="none"/>
                <w:lang w:val="en-US" w:eastAsia="zh-CN"/>
              </w:rPr>
            </w:pPr>
            <w:r>
              <w:rPr>
                <w:rFonts w:hint="eastAsia" w:ascii="仿宋" w:hAnsi="仿宋" w:eastAsia="仿宋" w:cs="仿宋"/>
                <w:i w:val="0"/>
                <w:color w:val="000000"/>
                <w:kern w:val="0"/>
                <w:sz w:val="32"/>
                <w:szCs w:val="32"/>
                <w:highlight w:val="none"/>
                <w:u w:val="none"/>
                <w:lang w:val="en-US" w:eastAsia="zh-CN" w:bidi="ar"/>
              </w:rPr>
              <w:t>良</w:t>
            </w:r>
          </w:p>
        </w:tc>
      </w:tr>
      <w:tr>
        <w:tblPrEx>
          <w:tblCellMar>
            <w:top w:w="0" w:type="dxa"/>
            <w:left w:w="0" w:type="dxa"/>
            <w:bottom w:w="0" w:type="dxa"/>
            <w:right w:w="0" w:type="dxa"/>
          </w:tblCellMar>
        </w:tblPrEx>
        <w:trPr>
          <w:trHeight w:val="293"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过程</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rPr>
            </w:pPr>
            <w:r>
              <w:rPr>
                <w:rFonts w:hint="eastAsia" w:ascii="仿宋" w:hAnsi="仿宋" w:eastAsia="仿宋" w:cs="仿宋"/>
                <w:i w:val="0"/>
                <w:color w:val="000000"/>
                <w:kern w:val="0"/>
                <w:sz w:val="32"/>
                <w:szCs w:val="32"/>
                <w:highlight w:val="none"/>
                <w:u w:val="none"/>
                <w:lang w:val="en-US" w:eastAsia="zh-CN" w:bidi="ar"/>
              </w:rPr>
              <w:t>20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17</w:t>
            </w:r>
          </w:p>
        </w:tc>
        <w:tc>
          <w:tcPr>
            <w:tcW w:w="1891" w:type="dxa"/>
            <w:vMerge w:val="continue"/>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blPrEx>
          <w:tblCellMar>
            <w:top w:w="0" w:type="dxa"/>
            <w:left w:w="0" w:type="dxa"/>
            <w:bottom w:w="0" w:type="dxa"/>
            <w:right w:w="0" w:type="dxa"/>
          </w:tblCellMar>
        </w:tblPrEx>
        <w:trPr>
          <w:trHeight w:val="246"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产出</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35</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28</w:t>
            </w:r>
          </w:p>
        </w:tc>
        <w:tc>
          <w:tcPr>
            <w:tcW w:w="1891"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blPrEx>
          <w:tblCellMar>
            <w:top w:w="0" w:type="dxa"/>
            <w:left w:w="0" w:type="dxa"/>
            <w:bottom w:w="0" w:type="dxa"/>
            <w:right w:w="0" w:type="dxa"/>
          </w:tblCellMar>
        </w:tblPrEx>
        <w:trPr>
          <w:trHeight w:val="527"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效果</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25</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20</w:t>
            </w:r>
          </w:p>
        </w:tc>
        <w:tc>
          <w:tcPr>
            <w:tcW w:w="1891"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eastAsia" w:ascii="宋体" w:hAnsi="宋体" w:eastAsia="宋体" w:cs="宋体"/>
                <w:i w:val="0"/>
                <w:color w:val="000000"/>
                <w:sz w:val="32"/>
                <w:szCs w:val="32"/>
                <w:highlight w:val="none"/>
                <w:u w:val="none"/>
              </w:rPr>
            </w:pPr>
          </w:p>
        </w:tc>
      </w:tr>
      <w:tr>
        <w:tblPrEx>
          <w:tblCellMar>
            <w:top w:w="0" w:type="dxa"/>
            <w:left w:w="0" w:type="dxa"/>
            <w:bottom w:w="0" w:type="dxa"/>
            <w:right w:w="0" w:type="dxa"/>
          </w:tblCellMar>
        </w:tblPrEx>
        <w:trPr>
          <w:trHeight w:val="611" w:hRule="atLeast"/>
          <w:jc w:val="center"/>
        </w:trPr>
        <w:tc>
          <w:tcPr>
            <w:tcW w:w="2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bottom"/>
              <w:outlineLvl w:val="9"/>
              <w:rPr>
                <w:rFonts w:hint="eastAsia" w:ascii="仿宋" w:hAnsi="仿宋" w:eastAsia="仿宋" w:cs="仿宋"/>
                <w:i w:val="0"/>
                <w:color w:val="000000"/>
                <w:sz w:val="32"/>
                <w:szCs w:val="32"/>
                <w:highlight w:val="none"/>
                <w:u w:val="none"/>
              </w:rPr>
            </w:pPr>
            <w:r>
              <w:rPr>
                <w:rFonts w:hint="eastAsia" w:ascii="仿宋" w:hAnsi="仿宋" w:eastAsia="仿宋" w:cs="仿宋"/>
                <w:i w:val="0"/>
                <w:color w:val="000000"/>
                <w:kern w:val="0"/>
                <w:sz w:val="32"/>
                <w:szCs w:val="32"/>
                <w:highlight w:val="none"/>
                <w:u w:val="none"/>
                <w:lang w:val="en-US" w:eastAsia="zh-CN" w:bidi="ar"/>
              </w:rPr>
              <w:t>合计</w:t>
            </w:r>
          </w:p>
        </w:tc>
        <w:tc>
          <w:tcPr>
            <w:tcW w:w="180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outlineLvl w:val="9"/>
              <w:rPr>
                <w:rFonts w:hint="eastAsia"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100</w:t>
            </w:r>
          </w:p>
        </w:tc>
        <w:tc>
          <w:tcPr>
            <w:tcW w:w="19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bottom"/>
              <w:outlineLvl w:val="9"/>
              <w:rPr>
                <w:rFonts w:hint="default" w:ascii="仿宋" w:hAnsi="仿宋" w:eastAsia="仿宋" w:cs="仿宋"/>
                <w:i w:val="0"/>
                <w:color w:val="000000"/>
                <w:sz w:val="32"/>
                <w:szCs w:val="32"/>
                <w:highlight w:val="none"/>
                <w:u w:val="none"/>
                <w:lang w:val="en-US" w:eastAsia="zh-CN"/>
              </w:rPr>
            </w:pPr>
            <w:r>
              <w:rPr>
                <w:rFonts w:hint="eastAsia" w:ascii="仿宋" w:hAnsi="仿宋" w:eastAsia="仿宋" w:cs="仿宋"/>
                <w:i w:val="0"/>
                <w:color w:val="000000"/>
                <w:sz w:val="32"/>
                <w:szCs w:val="32"/>
                <w:highlight w:val="none"/>
                <w:u w:val="none"/>
                <w:lang w:val="en-US" w:eastAsia="zh-CN"/>
              </w:rPr>
              <w:t>84</w:t>
            </w:r>
          </w:p>
        </w:tc>
        <w:tc>
          <w:tcPr>
            <w:tcW w:w="1891"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center"/>
              <w:textAlignment w:val="bottom"/>
              <w:outlineLvl w:val="9"/>
              <w:rPr>
                <w:rFonts w:hint="eastAsia" w:ascii="宋体" w:hAnsi="宋体" w:eastAsia="宋体" w:cs="宋体"/>
                <w:i w:val="0"/>
                <w:color w:val="000000"/>
                <w:sz w:val="32"/>
                <w:szCs w:val="32"/>
                <w:highlight w:val="none"/>
                <w:u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楷体" w:hAnsi="楷体" w:eastAsia="楷体" w:cs="楷体"/>
          <w:b/>
          <w:bCs/>
          <w:kern w:val="2"/>
          <w:sz w:val="32"/>
          <w:szCs w:val="32"/>
          <w:highlight w:val="none"/>
          <w:lang w:val="en-US" w:eastAsia="zh-CN" w:bidi="ar-SA"/>
        </w:rPr>
      </w:pPr>
      <w:bookmarkStart w:id="16" w:name="_Toc16351"/>
      <w:bookmarkStart w:id="17" w:name="_Toc19093"/>
      <w:bookmarkStart w:id="18" w:name="_Toc30325"/>
      <w:bookmarkStart w:id="19" w:name="_Toc21670"/>
      <w:bookmarkStart w:id="20" w:name="_Toc4170"/>
      <w:bookmarkStart w:id="21" w:name="_Toc406666356"/>
      <w:bookmarkStart w:id="22" w:name="_Toc406668030"/>
      <w:bookmarkStart w:id="23" w:name="_Toc361304680"/>
      <w:bookmarkStart w:id="24" w:name="_Toc11692"/>
      <w:bookmarkStart w:id="25" w:name="_Toc1"/>
      <w:bookmarkStart w:id="26" w:name="_Toc30697"/>
      <w:bookmarkStart w:id="27" w:name="_Toc30408"/>
      <w:bookmarkStart w:id="28" w:name="_Toc10057"/>
      <w:bookmarkStart w:id="29" w:name="_Toc24106"/>
      <w:r>
        <w:rPr>
          <w:rFonts w:hint="eastAsia" w:ascii="楷体" w:hAnsi="楷体" w:eastAsia="楷体" w:cs="楷体"/>
          <w:b/>
          <w:bCs/>
          <w:kern w:val="2"/>
          <w:sz w:val="32"/>
          <w:szCs w:val="32"/>
          <w:highlight w:val="none"/>
          <w:lang w:val="en-US" w:eastAsia="zh-CN" w:bidi="ar-SA"/>
        </w:rPr>
        <w:t>（二）绩效指标完成情况分析</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3"/>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left="0" w:leftChars="0" w:firstLine="642" w:firstLineChars="200"/>
        <w:jc w:val="both"/>
        <w:textAlignment w:val="auto"/>
        <w:outlineLvl w:val="1"/>
        <w:rPr>
          <w:rFonts w:hint="eastAsia" w:ascii="楷体" w:hAnsi="楷体" w:eastAsia="楷体" w:cs="楷体"/>
          <w:b/>
          <w:bCs/>
          <w:color w:val="auto"/>
          <w:sz w:val="32"/>
          <w:szCs w:val="32"/>
          <w:highlight w:val="none"/>
          <w:lang w:val="en-US" w:eastAsia="zh-CN"/>
        </w:rPr>
      </w:pPr>
      <w:bookmarkStart w:id="30" w:name="_Toc3276"/>
      <w:bookmarkStart w:id="31" w:name="_Toc29173"/>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项目</w:t>
      </w:r>
      <w:r>
        <w:rPr>
          <w:rFonts w:hint="eastAsia" w:ascii="楷体" w:hAnsi="楷体" w:eastAsia="楷体" w:cs="楷体"/>
          <w:b/>
          <w:bCs/>
          <w:color w:val="auto"/>
          <w:sz w:val="32"/>
          <w:szCs w:val="32"/>
          <w:highlight w:val="none"/>
          <w:lang w:val="en-US" w:eastAsia="zh-CN"/>
        </w:rPr>
        <w:t>决策</w:t>
      </w:r>
      <w:r>
        <w:rPr>
          <w:rFonts w:hint="eastAsia" w:ascii="楷体" w:hAnsi="楷体" w:eastAsia="楷体" w:cs="楷体"/>
          <w:b/>
          <w:bCs/>
          <w:color w:val="auto"/>
          <w:sz w:val="32"/>
          <w:szCs w:val="32"/>
          <w:highlight w:val="none"/>
        </w:rPr>
        <w:t>指标完成情况分析</w:t>
      </w:r>
      <w:bookmarkEnd w:id="30"/>
      <w:bookmarkEnd w:id="31"/>
    </w:p>
    <w:p>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color w:val="auto"/>
          <w:sz w:val="32"/>
          <w:szCs w:val="32"/>
          <w:highlight w:val="none"/>
        </w:rPr>
        <w:t>综合评价：项目</w:t>
      </w:r>
      <w:r>
        <w:rPr>
          <w:rFonts w:hint="eastAsia" w:ascii="仿宋" w:hAnsi="仿宋" w:eastAsia="仿宋" w:cs="仿宋"/>
          <w:b w:val="0"/>
          <w:bCs/>
          <w:color w:val="auto"/>
          <w:sz w:val="32"/>
          <w:szCs w:val="32"/>
          <w:highlight w:val="none"/>
          <w:lang w:val="en-US" w:eastAsia="zh-CN"/>
        </w:rPr>
        <w:t>决策</w:t>
      </w:r>
      <w:r>
        <w:rPr>
          <w:rFonts w:hint="eastAsia" w:ascii="仿宋" w:hAnsi="仿宋" w:eastAsia="仿宋" w:cs="仿宋"/>
          <w:b w:val="0"/>
          <w:bCs/>
          <w:color w:val="auto"/>
          <w:sz w:val="32"/>
          <w:szCs w:val="32"/>
          <w:highlight w:val="none"/>
        </w:rPr>
        <w:t>指标完成</w:t>
      </w:r>
      <w:r>
        <w:rPr>
          <w:rFonts w:hint="eastAsia" w:ascii="仿宋" w:hAnsi="仿宋" w:eastAsia="仿宋" w:cs="仿宋"/>
          <w:b w:val="0"/>
          <w:bCs/>
          <w:color w:val="auto"/>
          <w:sz w:val="32"/>
          <w:szCs w:val="32"/>
          <w:highlight w:val="none"/>
          <w:lang w:val="en-US" w:eastAsia="zh-CN"/>
        </w:rPr>
        <w:t>情况优秀，权重分值20分,评价得分19分。</w:t>
      </w:r>
      <w:r>
        <w:rPr>
          <w:rFonts w:hint="eastAsia" w:ascii="仿宋" w:hAnsi="仿宋" w:eastAsia="仿宋"/>
          <w:sz w:val="32"/>
          <w:szCs w:val="24"/>
          <w:highlight w:val="none"/>
        </w:rPr>
        <w:t>项目立项依据充分，符合国家法律法规、国民经济发展规划和</w:t>
      </w:r>
      <w:r>
        <w:rPr>
          <w:rFonts w:hint="eastAsia" w:ascii="仿宋" w:hAnsi="仿宋" w:eastAsia="仿宋" w:cs="仿宋"/>
          <w:color w:val="auto"/>
          <w:kern w:val="2"/>
          <w:sz w:val="32"/>
          <w:szCs w:val="32"/>
          <w:highlight w:val="none"/>
          <w:lang w:val="en-US" w:eastAsia="zh-CN" w:bidi="ar-SA"/>
        </w:rPr>
        <w:t>《咸宁市全面深化矿山生态修复工作方案》的规定，新建和生产矿山全部按照绿色矿山标准建设，历史遗留矿山生态修复取得显著成效，消除山体崩塌和渣堆滑塌地质灾害，改善地形地貌景观，改善治理区地质生态环境，</w:t>
      </w:r>
      <w:r>
        <w:rPr>
          <w:rFonts w:hint="eastAsia" w:ascii="仿宋" w:hAnsi="仿宋" w:eastAsia="仿宋" w:cs="仿宋"/>
          <w:sz w:val="32"/>
          <w:szCs w:val="32"/>
          <w:highlight w:val="none"/>
          <w:lang w:val="en-US" w:eastAsia="zh-CN"/>
        </w:rPr>
        <w:t>属</w:t>
      </w:r>
      <w:r>
        <w:rPr>
          <w:rFonts w:hint="eastAsia" w:ascii="仿宋" w:hAnsi="仿宋" w:eastAsia="仿宋"/>
          <w:sz w:val="32"/>
          <w:szCs w:val="24"/>
          <w:highlight w:val="none"/>
        </w:rPr>
        <w:t>于公共财政支持范围，项目与部门内部相关项目不存在重复现象，与</w:t>
      </w:r>
      <w:r>
        <w:rPr>
          <w:rFonts w:hint="eastAsia" w:ascii="仿宋" w:hAnsi="仿宋" w:eastAsia="仿宋"/>
          <w:sz w:val="32"/>
          <w:szCs w:val="24"/>
          <w:highlight w:val="none"/>
          <w:lang w:val="en-US" w:eastAsia="zh-CN"/>
        </w:rPr>
        <w:t>自然资源和规划</w:t>
      </w:r>
      <w:r>
        <w:rPr>
          <w:rFonts w:hint="eastAsia" w:ascii="仿宋" w:hAnsi="仿宋" w:eastAsia="仿宋"/>
          <w:sz w:val="32"/>
          <w:szCs w:val="24"/>
          <w:highlight w:val="none"/>
        </w:rPr>
        <w:t>部门职能相符；立项程序按照规定程序申报设立，审批文件、材料符合相关要求，项目进行了可行性研究；预算绩效目标合理，符合正常的业绩水平；项目绩效目标细化分解为具体的绩效指标；通过清晰、细化、可衡量的指标值予以体现；与项目目标任务数或计划数相对应；预算确定的项目投资额或资金量与</w:t>
      </w:r>
      <w:r>
        <w:rPr>
          <w:rFonts w:hint="eastAsia" w:ascii="仿宋" w:hAnsi="仿宋" w:eastAsia="仿宋"/>
          <w:sz w:val="32"/>
          <w:szCs w:val="24"/>
          <w:highlight w:val="none"/>
          <w:lang w:val="en-US" w:eastAsia="zh-CN"/>
        </w:rPr>
        <w:t>实际</w:t>
      </w:r>
      <w:r>
        <w:rPr>
          <w:rFonts w:hint="eastAsia" w:ascii="仿宋" w:hAnsi="仿宋" w:eastAsia="仿宋"/>
          <w:sz w:val="32"/>
          <w:szCs w:val="24"/>
          <w:highlight w:val="none"/>
        </w:rPr>
        <w:t>工作任务</w:t>
      </w:r>
      <w:r>
        <w:rPr>
          <w:rFonts w:hint="eastAsia" w:ascii="仿宋" w:hAnsi="仿宋" w:eastAsia="仿宋"/>
          <w:sz w:val="32"/>
          <w:szCs w:val="24"/>
          <w:highlight w:val="none"/>
          <w:lang w:val="en-US" w:eastAsia="zh-CN"/>
        </w:rPr>
        <w:t>存在差异，建设过程中</w:t>
      </w:r>
      <w:r>
        <w:rPr>
          <w:rFonts w:hint="eastAsia" w:ascii="仿宋" w:hAnsi="仿宋" w:eastAsia="仿宋"/>
          <w:sz w:val="32"/>
          <w:szCs w:val="24"/>
          <w:highlight w:val="none"/>
        </w:rPr>
        <w:t>提档升级</w:t>
      </w:r>
      <w:r>
        <w:rPr>
          <w:rFonts w:hint="eastAsia" w:ascii="仿宋" w:hAnsi="仿宋" w:eastAsia="仿宋"/>
          <w:sz w:val="32"/>
          <w:szCs w:val="24"/>
          <w:highlight w:val="none"/>
          <w:lang w:val="en-US" w:eastAsia="zh-CN"/>
        </w:rPr>
        <w:t>项目</w:t>
      </w:r>
      <w:r>
        <w:rPr>
          <w:rFonts w:hint="eastAsia" w:ascii="仿宋" w:hAnsi="仿宋" w:eastAsia="仿宋"/>
          <w:sz w:val="32"/>
          <w:szCs w:val="24"/>
          <w:highlight w:val="none"/>
        </w:rPr>
        <w:t>增加投资1,089,798.68元，增加比例9.52%</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扣1分。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2"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项目过程指标完成情况分析</w:t>
      </w:r>
    </w:p>
    <w:p>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综合评价：项目过程指标完成情况</w:t>
      </w:r>
      <w:r>
        <w:rPr>
          <w:rFonts w:hint="eastAsia" w:ascii="仿宋" w:hAnsi="仿宋" w:eastAsia="仿宋" w:cs="仿宋"/>
          <w:b w:val="0"/>
          <w:bCs/>
          <w:color w:val="auto"/>
          <w:sz w:val="32"/>
          <w:szCs w:val="32"/>
          <w:highlight w:val="none"/>
          <w:lang w:val="en-US" w:eastAsia="zh-CN"/>
        </w:rPr>
        <w:t>良好</w:t>
      </w:r>
      <w:r>
        <w:rPr>
          <w:rFonts w:hint="eastAsia" w:ascii="仿宋" w:hAnsi="仿宋" w:eastAsia="仿宋" w:cs="仿宋"/>
          <w:kern w:val="0"/>
          <w:sz w:val="32"/>
          <w:szCs w:val="32"/>
          <w:highlight w:val="none"/>
          <w:lang w:val="en-US" w:eastAsia="zh-CN" w:bidi="ar-SA"/>
        </w:rPr>
        <w:t>，</w:t>
      </w:r>
      <w:r>
        <w:rPr>
          <w:rFonts w:hint="eastAsia" w:ascii="仿宋" w:hAnsi="仿宋" w:eastAsia="仿宋" w:cs="仿宋"/>
          <w:b w:val="0"/>
          <w:bCs/>
          <w:color w:val="auto"/>
          <w:sz w:val="32"/>
          <w:szCs w:val="32"/>
          <w:highlight w:val="none"/>
          <w:lang w:val="en-US" w:eastAsia="zh-CN"/>
        </w:rPr>
        <w:t>权重分值20分,评价得分17分，</w:t>
      </w:r>
      <w:r>
        <w:rPr>
          <w:rFonts w:hint="eastAsia" w:ascii="仿宋" w:hAnsi="仿宋" w:eastAsia="仿宋" w:cs="仿宋"/>
          <w:kern w:val="0"/>
          <w:sz w:val="32"/>
          <w:szCs w:val="32"/>
          <w:highlight w:val="none"/>
          <w:lang w:val="en-US" w:eastAsia="zh-CN" w:bidi="ar-SA"/>
        </w:rPr>
        <w:t>扣3分。项目资金的到位率100%、预算执行率均69.18%；</w:t>
      </w:r>
      <w:r>
        <w:rPr>
          <w:rFonts w:hint="eastAsia" w:ascii="仿宋" w:hAnsi="仿宋" w:eastAsia="仿宋"/>
          <w:sz w:val="32"/>
          <w:szCs w:val="24"/>
          <w:highlight w:val="none"/>
        </w:rPr>
        <w:t>项目资金拨付有完整的审批手续</w:t>
      </w:r>
      <w:r>
        <w:rPr>
          <w:rFonts w:hint="eastAsia" w:ascii="仿宋" w:hAnsi="仿宋" w:eastAsia="仿宋"/>
          <w:sz w:val="32"/>
          <w:szCs w:val="24"/>
          <w:highlight w:val="none"/>
          <w:lang w:eastAsia="zh-CN"/>
        </w:rPr>
        <w:t>，</w:t>
      </w:r>
      <w:r>
        <w:rPr>
          <w:rFonts w:hint="eastAsia" w:ascii="仿宋" w:hAnsi="仿宋" w:eastAsia="仿宋"/>
          <w:sz w:val="32"/>
          <w:szCs w:val="24"/>
          <w:highlight w:val="none"/>
        </w:rPr>
        <w:t>资金使用符合项目预算批复或合同规定用途</w:t>
      </w:r>
      <w:r>
        <w:rPr>
          <w:rFonts w:hint="eastAsia" w:ascii="仿宋" w:hAnsi="仿宋" w:eastAsia="仿宋"/>
          <w:sz w:val="32"/>
          <w:szCs w:val="24"/>
          <w:highlight w:val="none"/>
          <w:lang w:eastAsia="zh-CN"/>
        </w:rPr>
        <w:t>，</w:t>
      </w:r>
      <w:r>
        <w:rPr>
          <w:rFonts w:hint="eastAsia" w:ascii="仿宋" w:hAnsi="仿宋" w:eastAsia="仿宋" w:cs="仿宋"/>
          <w:kern w:val="0"/>
          <w:sz w:val="32"/>
          <w:szCs w:val="32"/>
          <w:highlight w:val="none"/>
          <w:lang w:val="en-US" w:eastAsia="zh-CN" w:bidi="ar-SA"/>
        </w:rPr>
        <w:t>不存在截留、挤占、挪用、虚列支出等情形；</w:t>
      </w:r>
      <w:r>
        <w:rPr>
          <w:rFonts w:hint="eastAsia" w:ascii="仿宋" w:hAnsi="仿宋" w:eastAsia="仿宋"/>
          <w:sz w:val="32"/>
          <w:szCs w:val="24"/>
          <w:highlight w:val="none"/>
        </w:rPr>
        <w:t>项目实施的人员条件、场地设备、</w:t>
      </w:r>
      <w:r>
        <w:rPr>
          <w:rFonts w:hint="eastAsia" w:ascii="仿宋" w:hAnsi="仿宋" w:eastAsia="仿宋"/>
          <w:sz w:val="32"/>
          <w:szCs w:val="24"/>
          <w:highlight w:val="none"/>
          <w:lang w:val="en-US" w:eastAsia="zh-CN"/>
        </w:rPr>
        <w:t>安全措施</w:t>
      </w:r>
      <w:r>
        <w:rPr>
          <w:rFonts w:hint="eastAsia" w:ascii="仿宋" w:hAnsi="仿宋" w:eastAsia="仿宋"/>
          <w:sz w:val="32"/>
          <w:szCs w:val="24"/>
          <w:highlight w:val="none"/>
        </w:rPr>
        <w:t>落实到位。</w:t>
      </w:r>
      <w:r>
        <w:rPr>
          <w:rFonts w:hint="eastAsia" w:ascii="仿宋" w:hAnsi="仿宋" w:eastAsia="仿宋" w:cs="仿宋"/>
          <w:kern w:val="0"/>
          <w:sz w:val="32"/>
          <w:szCs w:val="32"/>
          <w:highlight w:val="none"/>
          <w:lang w:val="en-US" w:eastAsia="zh-CN" w:bidi="ar-SA"/>
        </w:rPr>
        <w:t>扣分原因为：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（1）项目到位资金1253.24万元，实际支出867万元</w:t>
      </w:r>
      <w:r>
        <w:rPr>
          <w:rFonts w:hint="eastAsia" w:ascii="仿宋" w:hAnsi="仿宋" w:eastAsia="仿宋" w:cs="仿宋"/>
          <w:sz w:val="32"/>
          <w:szCs w:val="32"/>
          <w:highlight w:val="none"/>
          <w:lang w:val="en-US" w:eastAsia="zh-CN"/>
        </w:rPr>
        <w:t>，预算执行率为69.18%，根据评分标准扣1分。</w:t>
      </w:r>
    </w:p>
    <w:p>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hint="default"/>
          <w:sz w:val="32"/>
          <w:szCs w:val="32"/>
          <w:highlight w:val="none"/>
          <w:lang w:val="en-US" w:eastAsia="zh-CN"/>
        </w:rPr>
      </w:pPr>
      <w:r>
        <w:rPr>
          <w:rFonts w:hint="eastAsia" w:ascii="仿宋" w:hAnsi="仿宋" w:eastAsia="仿宋" w:cs="仿宋"/>
          <w:kern w:val="0"/>
          <w:sz w:val="32"/>
          <w:szCs w:val="32"/>
          <w:highlight w:val="none"/>
          <w:lang w:val="en-US" w:eastAsia="zh-CN" w:bidi="ar-SA"/>
        </w:rPr>
        <w:t>（2）</w:t>
      </w:r>
      <w:r>
        <w:rPr>
          <w:rFonts w:hint="eastAsia" w:ascii="仿宋" w:hAnsi="仿宋" w:eastAsia="仿宋" w:cs="仿宋"/>
          <w:bCs/>
          <w:caps/>
          <w:sz w:val="32"/>
          <w:szCs w:val="32"/>
          <w:highlight w:val="none"/>
          <w:lang w:val="en-US" w:eastAsia="zh-CN"/>
        </w:rPr>
        <w:t>咸宁市成功矿业有限公司矿山生态环境修复治理工程</w:t>
      </w:r>
      <w:r>
        <w:rPr>
          <w:rFonts w:hint="eastAsia" w:ascii="仿宋" w:hAnsi="仿宋" w:eastAsia="仿宋" w:cs="仿宋"/>
          <w:sz w:val="32"/>
          <w:szCs w:val="32"/>
          <w:highlight w:val="none"/>
          <w:lang w:val="en-US" w:eastAsia="zh-CN"/>
        </w:rPr>
        <w:t>2023年5月15日竣工验收后，未办理资产移交手续，无后期管护的责任主体，扣2分。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3、项目产出指标完成情况分析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sz w:val="32"/>
          <w:szCs w:val="32"/>
          <w:highlight w:val="none"/>
          <w:lang w:val="en-US" w:eastAsia="zh-CN"/>
        </w:rPr>
        <w:t>综合评价：项目产出指标完成情况良好，</w:t>
      </w:r>
      <w:r>
        <w:rPr>
          <w:rFonts w:hint="eastAsia" w:ascii="仿宋" w:hAnsi="仿宋" w:eastAsia="仿宋" w:cs="仿宋"/>
          <w:b w:val="0"/>
          <w:bCs/>
          <w:color w:val="auto"/>
          <w:sz w:val="32"/>
          <w:szCs w:val="32"/>
          <w:highlight w:val="none"/>
          <w:lang w:val="en-US" w:eastAsia="zh-CN"/>
        </w:rPr>
        <w:t>权重分值35分,评价得分28分，扣7分。</w:t>
      </w:r>
      <w:r>
        <w:rPr>
          <w:rFonts w:hint="eastAsia" w:ascii="仿宋" w:hAnsi="仿宋" w:eastAsia="仿宋" w:cs="仿宋"/>
          <w:bCs/>
          <w:caps/>
          <w:sz w:val="32"/>
          <w:szCs w:val="32"/>
          <w:highlight w:val="none"/>
          <w:lang w:val="en-US" w:eastAsia="zh-CN"/>
        </w:rPr>
        <w:t>咸宁市成功矿业有限公司矿山生态环境修复治理工程</w:t>
      </w:r>
      <w:r>
        <w:rPr>
          <w:rFonts w:hint="eastAsia" w:ascii="仿宋" w:hAnsi="仿宋" w:eastAsia="仿宋"/>
          <w:sz w:val="32"/>
          <w:szCs w:val="24"/>
          <w:highlight w:val="none"/>
        </w:rPr>
        <w:t>已全部完成，</w:t>
      </w:r>
      <w:r>
        <w:rPr>
          <w:rFonts w:hint="eastAsia" w:ascii="仿宋" w:hAnsi="仿宋" w:eastAsia="仿宋"/>
          <w:sz w:val="32"/>
          <w:szCs w:val="24"/>
          <w:highlight w:val="none"/>
          <w:lang w:val="en-US" w:eastAsia="zh-CN"/>
        </w:rPr>
        <w:t>本级财政预算资金及时支付</w:t>
      </w:r>
      <w:r>
        <w:rPr>
          <w:rFonts w:hint="eastAsia" w:ascii="仿宋" w:hAnsi="仿宋" w:eastAsia="仿宋"/>
          <w:sz w:val="32"/>
          <w:szCs w:val="24"/>
          <w:highlight w:val="none"/>
        </w:rPr>
        <w:t>；项目资金按逐级审批后拨付，项目成本控制基本到位。项目实际</w:t>
      </w:r>
      <w:r>
        <w:rPr>
          <w:rFonts w:hint="eastAsia" w:ascii="仿宋" w:hAnsi="仿宋" w:eastAsia="仿宋"/>
          <w:sz w:val="32"/>
          <w:szCs w:val="24"/>
          <w:highlight w:val="none"/>
          <w:lang w:val="en-US" w:eastAsia="zh-CN"/>
        </w:rPr>
        <w:t>工程量</w:t>
      </w:r>
      <w:r>
        <w:rPr>
          <w:rFonts w:hint="eastAsia" w:ascii="仿宋" w:hAnsi="仿宋" w:eastAsia="仿宋"/>
          <w:sz w:val="32"/>
          <w:szCs w:val="24"/>
          <w:highlight w:val="none"/>
        </w:rPr>
        <w:t>与计划建</w:t>
      </w:r>
      <w:r>
        <w:rPr>
          <w:rFonts w:hint="eastAsia" w:ascii="仿宋" w:hAnsi="仿宋" w:eastAsia="仿宋"/>
          <w:sz w:val="32"/>
          <w:szCs w:val="24"/>
          <w:highlight w:val="none"/>
          <w:lang w:val="en-US" w:eastAsia="zh-CN"/>
        </w:rPr>
        <w:t>工程量基本</w:t>
      </w:r>
      <w:r>
        <w:rPr>
          <w:rFonts w:hint="eastAsia" w:ascii="仿宋" w:hAnsi="仿宋" w:eastAsia="仿宋"/>
          <w:sz w:val="32"/>
          <w:szCs w:val="24"/>
          <w:highlight w:val="none"/>
        </w:rPr>
        <w:t>相符</w:t>
      </w:r>
      <w:r>
        <w:rPr>
          <w:rFonts w:hint="eastAsia" w:ascii="仿宋" w:hAnsi="仿宋" w:eastAsia="仿宋"/>
          <w:sz w:val="32"/>
          <w:szCs w:val="24"/>
          <w:highlight w:val="none"/>
          <w:lang w:eastAsia="zh-CN"/>
        </w:rPr>
        <w:t>：</w:t>
      </w:r>
      <w:r>
        <w:rPr>
          <w:rFonts w:hint="eastAsia" w:ascii="仿宋" w:hAnsi="仿宋" w:eastAsia="仿宋" w:cs="仿宋"/>
          <w:bCs/>
          <w:caps/>
          <w:sz w:val="32"/>
          <w:szCs w:val="32"/>
          <w:highlight w:val="none"/>
          <w:lang w:val="en-US" w:eastAsia="zh-CN"/>
        </w:rPr>
        <w:t>矿山生态环境修复治理工程</w:t>
      </w:r>
      <w:r>
        <w:rPr>
          <w:rFonts w:hint="eastAsia" w:ascii="仿宋" w:hAnsi="仿宋" w:eastAsia="仿宋" w:cs="仿宋"/>
          <w:color w:val="auto"/>
          <w:kern w:val="2"/>
          <w:sz w:val="32"/>
          <w:szCs w:val="32"/>
          <w:highlight w:val="none"/>
          <w:lang w:val="en-US" w:eastAsia="zh-CN" w:bidi="ar-SA"/>
        </w:rPr>
        <w:t>边坡清理实际工程量2,125.03m</w:t>
      </w:r>
      <w:r>
        <w:rPr>
          <w:rFonts w:hint="eastAsia" w:ascii="仿宋" w:hAnsi="仿宋" w:eastAsia="仿宋" w:cs="仿宋"/>
          <w:color w:val="auto"/>
          <w:kern w:val="2"/>
          <w:sz w:val="32"/>
          <w:szCs w:val="32"/>
          <w:highlight w:val="none"/>
          <w:vertAlign w:val="superscript"/>
          <w:lang w:val="en-US" w:eastAsia="zh-CN" w:bidi="ar-SA"/>
        </w:rPr>
        <w:t>3</w:t>
      </w:r>
      <w:r>
        <w:rPr>
          <w:rFonts w:hint="eastAsia" w:ascii="仿宋" w:hAnsi="仿宋" w:eastAsia="仿宋" w:cs="仿宋"/>
          <w:color w:val="auto"/>
          <w:kern w:val="2"/>
          <w:sz w:val="32"/>
          <w:szCs w:val="32"/>
          <w:highlight w:val="none"/>
          <w:lang w:val="en-US" w:eastAsia="zh-CN" w:bidi="ar-SA"/>
        </w:rPr>
        <w:t>；削方整形工程实际工程量119,633.00m</w:t>
      </w:r>
      <w:r>
        <w:rPr>
          <w:rFonts w:hint="eastAsia" w:ascii="仿宋" w:hAnsi="仿宋" w:eastAsia="仿宋" w:cs="仿宋"/>
          <w:color w:val="auto"/>
          <w:kern w:val="2"/>
          <w:sz w:val="32"/>
          <w:szCs w:val="32"/>
          <w:highlight w:val="none"/>
          <w:vertAlign w:val="superscript"/>
          <w:lang w:val="en-US" w:eastAsia="zh-CN" w:bidi="ar-SA"/>
        </w:rPr>
        <w:t>3</w:t>
      </w:r>
      <w:r>
        <w:rPr>
          <w:rFonts w:hint="eastAsia" w:ascii="仿宋" w:hAnsi="仿宋" w:eastAsia="仿宋" w:cs="仿宋"/>
          <w:color w:val="auto"/>
          <w:kern w:val="2"/>
          <w:sz w:val="32"/>
          <w:szCs w:val="32"/>
          <w:highlight w:val="none"/>
          <w:lang w:val="en-US" w:eastAsia="zh-CN" w:bidi="ar-SA"/>
        </w:rPr>
        <w:t>；场地清理平整工程实际工程量2,635.50m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；平整翻耕工程实际工程量146,372.00m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(其中:复绿林地72,684.00m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,复垦旱地73,688.00m</w:t>
      </w:r>
      <w:r>
        <w:rPr>
          <w:rFonts w:hint="eastAsia" w:ascii="仿宋" w:hAnsi="仿宋" w:eastAsia="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）；实际栽植乔木2844株、攀缘植物2100株。</w:t>
      </w:r>
    </w:p>
    <w:p>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sz w:val="32"/>
          <w:szCs w:val="24"/>
          <w:highlight w:val="none"/>
          <w:lang w:val="en-US" w:eastAsia="zh-CN"/>
        </w:rPr>
        <w:t>该</w:t>
      </w:r>
      <w:r>
        <w:rPr>
          <w:rFonts w:hint="eastAsia" w:ascii="仿宋" w:hAnsi="仿宋" w:eastAsia="仿宋"/>
          <w:sz w:val="32"/>
          <w:szCs w:val="24"/>
          <w:highlight w:val="none"/>
        </w:rPr>
        <w:t>项目于202</w:t>
      </w:r>
      <w:r>
        <w:rPr>
          <w:rFonts w:hint="eastAsia" w:ascii="仿宋" w:hAnsi="仿宋" w:eastAsia="仿宋"/>
          <w:sz w:val="32"/>
          <w:szCs w:val="24"/>
          <w:highlight w:val="none"/>
          <w:lang w:val="en-US" w:eastAsia="zh-CN"/>
        </w:rPr>
        <w:t>1</w:t>
      </w:r>
      <w:r>
        <w:rPr>
          <w:rFonts w:hint="eastAsia" w:ascii="仿宋" w:hAnsi="仿宋" w:eastAsia="仿宋"/>
          <w:sz w:val="32"/>
          <w:szCs w:val="24"/>
          <w:highlight w:val="none"/>
        </w:rPr>
        <w:t>年</w:t>
      </w:r>
      <w:r>
        <w:rPr>
          <w:rFonts w:hint="eastAsia" w:ascii="仿宋" w:hAnsi="仿宋" w:eastAsia="仿宋"/>
          <w:sz w:val="32"/>
          <w:szCs w:val="24"/>
          <w:highlight w:val="none"/>
          <w:lang w:val="en-US" w:eastAsia="zh-CN"/>
        </w:rPr>
        <w:t>12月16</w:t>
      </w:r>
      <w:r>
        <w:rPr>
          <w:rFonts w:hint="eastAsia" w:ascii="仿宋" w:hAnsi="仿宋" w:eastAsia="仿宋"/>
          <w:sz w:val="32"/>
          <w:szCs w:val="24"/>
          <w:highlight w:val="none"/>
        </w:rPr>
        <w:t>日</w:t>
      </w:r>
      <w:r>
        <w:rPr>
          <w:rFonts w:hint="eastAsia" w:ascii="仿宋" w:hAnsi="仿宋" w:eastAsia="仿宋"/>
          <w:sz w:val="32"/>
          <w:szCs w:val="24"/>
          <w:highlight w:val="none"/>
          <w:lang w:val="en-US" w:eastAsia="zh-CN"/>
        </w:rPr>
        <w:t>开</w:t>
      </w:r>
      <w:r>
        <w:rPr>
          <w:rFonts w:hint="eastAsia" w:ascii="仿宋" w:hAnsi="仿宋" w:eastAsia="仿宋"/>
          <w:sz w:val="32"/>
          <w:szCs w:val="24"/>
          <w:highlight w:val="none"/>
        </w:rPr>
        <w:t>工，</w:t>
      </w:r>
      <w:r>
        <w:rPr>
          <w:rFonts w:hint="eastAsia" w:ascii="仿宋" w:hAnsi="仿宋" w:eastAsia="仿宋"/>
          <w:sz w:val="32"/>
          <w:szCs w:val="24"/>
          <w:highlight w:val="none"/>
          <w:lang w:val="en-US" w:eastAsia="zh-CN"/>
        </w:rPr>
        <w:t>合同约定工期为240天，</w:t>
      </w:r>
      <w:r>
        <w:rPr>
          <w:rFonts w:hint="eastAsia" w:ascii="仿宋" w:hAnsi="仿宋" w:eastAsia="仿宋" w:cs="仿宋"/>
          <w:sz w:val="32"/>
          <w:szCs w:val="32"/>
          <w:highlight w:val="none"/>
          <w:lang w:val="en-US" w:eastAsia="zh-CN"/>
        </w:rPr>
        <w:t>因项目提档升级，没有在计划完工日</w:t>
      </w:r>
      <w:r>
        <w:rPr>
          <w:rFonts w:hint="eastAsia" w:ascii="仿宋" w:hAnsi="仿宋" w:eastAsia="仿宋" w:cs="仿宋"/>
          <w:b w:val="0"/>
          <w:bCs w:val="0"/>
          <w:color w:val="auto"/>
          <w:kern w:val="2"/>
          <w:sz w:val="32"/>
          <w:szCs w:val="32"/>
          <w:highlight w:val="none"/>
          <w:lang w:val="en-US" w:eastAsia="zh-CN" w:bidi="ar-SA"/>
        </w:rPr>
        <w:t>2022年9月15日竣工，</w:t>
      </w:r>
      <w:r>
        <w:rPr>
          <w:rFonts w:hint="eastAsia" w:ascii="仿宋" w:hAnsi="仿宋" w:eastAsia="仿宋" w:cs="仿宋"/>
          <w:sz w:val="32"/>
          <w:szCs w:val="32"/>
          <w:highlight w:val="none"/>
          <w:lang w:val="en-US" w:eastAsia="zh-CN"/>
        </w:rPr>
        <w:t>工程</w:t>
      </w:r>
      <w:r>
        <w:rPr>
          <w:rFonts w:hint="eastAsia" w:ascii="仿宋" w:hAnsi="仿宋" w:eastAsia="仿宋"/>
          <w:sz w:val="32"/>
          <w:szCs w:val="24"/>
          <w:highlight w:val="none"/>
          <w:lang w:val="en-US" w:eastAsia="zh-CN"/>
        </w:rPr>
        <w:t>验收延期</w:t>
      </w:r>
      <w:r>
        <w:rPr>
          <w:rFonts w:hint="eastAsia" w:ascii="仿宋" w:hAnsi="仿宋" w:eastAsia="仿宋"/>
          <w:sz w:val="32"/>
          <w:szCs w:val="24"/>
          <w:highlight w:val="none"/>
        </w:rPr>
        <w:t>，</w:t>
      </w:r>
      <w:r>
        <w:rPr>
          <w:rFonts w:hint="eastAsia" w:ascii="仿宋" w:hAnsi="仿宋" w:eastAsia="仿宋" w:cs="仿宋"/>
          <w:sz w:val="32"/>
          <w:szCs w:val="32"/>
          <w:highlight w:val="none"/>
          <w:lang w:val="en-US" w:eastAsia="zh-CN"/>
        </w:rPr>
        <w:t>工程质量符合工程建设强制性标准和设计文件要求，工期延迟，扣5分。项目通过公开招投标、政府采购等程序合理控制施工成本，因提质升级费用发生，超预算1,089,798.68元，扣2分</w:t>
      </w:r>
      <w:r>
        <w:rPr>
          <w:rFonts w:hint="eastAsia" w:ascii="仿宋" w:hAnsi="仿宋" w:eastAsia="仿宋"/>
          <w:sz w:val="32"/>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4、项目效果指标完成情况分析</w:t>
      </w:r>
    </w:p>
    <w:p>
      <w:pPr>
        <w:pStyle w:val="30"/>
        <w:keepNext w:val="0"/>
        <w:keepLines w:val="0"/>
        <w:pageBreakBefore w:val="0"/>
        <w:kinsoku/>
        <w:wordWrap/>
        <w:overflowPunct/>
        <w:topLinePunct w:val="0"/>
        <w:autoSpaceDE/>
        <w:autoSpaceDN/>
        <w:bidi w:val="0"/>
        <w:spacing w:line="560" w:lineRule="exact"/>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rPr>
        <w:t>综合评价：</w:t>
      </w:r>
      <w:r>
        <w:rPr>
          <w:rFonts w:hint="eastAsia" w:ascii="仿宋" w:hAnsi="仿宋" w:eastAsia="仿宋" w:cs="仿宋"/>
          <w:b w:val="0"/>
          <w:bCs w:val="0"/>
          <w:color w:val="auto"/>
          <w:sz w:val="32"/>
          <w:szCs w:val="32"/>
          <w:highlight w:val="none"/>
          <w:lang w:val="en-US" w:eastAsia="zh-CN"/>
        </w:rPr>
        <w:t>项目效果指标完成情况良好，</w:t>
      </w:r>
      <w:r>
        <w:rPr>
          <w:rFonts w:hint="eastAsia" w:ascii="仿宋" w:hAnsi="仿宋" w:eastAsia="仿宋" w:cs="仿宋"/>
          <w:b w:val="0"/>
          <w:bCs/>
          <w:color w:val="auto"/>
          <w:sz w:val="32"/>
          <w:szCs w:val="32"/>
          <w:highlight w:val="none"/>
          <w:lang w:val="en-US" w:eastAsia="zh-CN"/>
        </w:rPr>
        <w:t>权重分值25分,评价得分20分，</w:t>
      </w:r>
      <w:r>
        <w:rPr>
          <w:rFonts w:hint="eastAsia" w:ascii="仿宋" w:hAnsi="仿宋" w:eastAsia="仿宋" w:cs="仿宋"/>
          <w:b w:val="0"/>
          <w:bCs w:val="0"/>
          <w:color w:val="auto"/>
          <w:sz w:val="32"/>
          <w:szCs w:val="32"/>
          <w:highlight w:val="none"/>
          <w:lang w:val="en-US" w:eastAsia="zh-CN"/>
        </w:rPr>
        <w:t>扣5分。</w:t>
      </w:r>
      <w:r>
        <w:rPr>
          <w:rFonts w:hint="eastAsia" w:ascii="仿宋" w:hAnsi="仿宋" w:eastAsia="仿宋" w:cs="仿宋"/>
          <w:bCs/>
          <w:caps/>
          <w:sz w:val="32"/>
          <w:szCs w:val="32"/>
          <w:highlight w:val="none"/>
          <w:lang w:val="en-US" w:eastAsia="zh-CN"/>
        </w:rPr>
        <w:t>咸宁市成功矿业有限公司矿山生态环境修复治理</w:t>
      </w:r>
      <w:r>
        <w:rPr>
          <w:rFonts w:hint="eastAsia" w:ascii="仿宋" w:hAnsi="仿宋" w:eastAsia="仿宋" w:cs="仿宋"/>
          <w:color w:val="auto"/>
          <w:sz w:val="32"/>
          <w:szCs w:val="32"/>
          <w:highlight w:val="none"/>
          <w:lang w:val="en-US" w:eastAsia="zh-CN"/>
        </w:rPr>
        <w:t>工程完成后，</w:t>
      </w:r>
      <w:r>
        <w:rPr>
          <w:rFonts w:hint="eastAsia" w:ascii="仿宋" w:hAnsi="仿宋" w:eastAsia="仿宋" w:cs="仿宋"/>
          <w:bCs/>
          <w:caps/>
          <w:sz w:val="32"/>
          <w:szCs w:val="32"/>
          <w:highlight w:val="none"/>
          <w:lang w:val="en-US" w:eastAsia="zh-CN"/>
        </w:rPr>
        <w:t>削除了可能存地的山体崩塌地质灾害隐患，改善了地形地貌景观及周边的生态环境，</w:t>
      </w:r>
      <w:r>
        <w:rPr>
          <w:rFonts w:hint="eastAsia" w:ascii="仿宋" w:hAnsi="仿宋" w:eastAsia="仿宋" w:cs="仿宋"/>
          <w:color w:val="auto"/>
          <w:kern w:val="2"/>
          <w:sz w:val="32"/>
          <w:szCs w:val="32"/>
          <w:highlight w:val="none"/>
          <w:lang w:val="en-US" w:eastAsia="zh-CN" w:bidi="ar-SA"/>
        </w:rPr>
        <w:t>获得可利用的土地资源，从而促进当地经济持续发展，提升咸安区和周边乡镇对外展示形象水平，</w:t>
      </w:r>
      <w:r>
        <w:rPr>
          <w:rFonts w:hint="eastAsia" w:ascii="仿宋_GB2312" w:hAnsi="仿宋" w:eastAsia="仿宋_GB2312" w:cs="Times New Roman"/>
          <w:sz w:val="32"/>
          <w:szCs w:val="32"/>
          <w:highlight w:val="none"/>
          <w:lang w:val="en-US" w:eastAsia="zh-CN" w:bidi="ar-SA"/>
        </w:rPr>
        <w:t>该项目在2023年5月15日竣工验收后，未办理资产移交手续，缺乏长期管护制度和责任主体，扣3分。</w:t>
      </w:r>
      <w:r>
        <w:rPr>
          <w:rFonts w:hint="eastAsia" w:ascii="仿宋" w:hAnsi="仿宋" w:eastAsia="仿宋" w:cs="仿宋"/>
          <w:bCs/>
          <w:caps/>
          <w:sz w:val="32"/>
          <w:szCs w:val="32"/>
          <w:highlight w:val="none"/>
          <w:lang w:val="en-US" w:eastAsia="zh-CN"/>
        </w:rPr>
        <w:t>咸宁市成功矿业有限公司矿山生态环境修复治理</w:t>
      </w:r>
      <w:r>
        <w:rPr>
          <w:rFonts w:hint="eastAsia" w:ascii="仿宋" w:hAnsi="仿宋" w:eastAsia="仿宋" w:cs="仿宋"/>
          <w:color w:val="auto"/>
          <w:sz w:val="32"/>
          <w:szCs w:val="32"/>
          <w:highlight w:val="none"/>
          <w:lang w:val="en-US" w:eastAsia="zh-CN"/>
        </w:rPr>
        <w:t>工程完成</w:t>
      </w:r>
      <w:r>
        <w:rPr>
          <w:rFonts w:hint="eastAsia" w:ascii="仿宋" w:hAnsi="仿宋" w:eastAsia="仿宋"/>
          <w:sz w:val="32"/>
          <w:szCs w:val="24"/>
          <w:highlight w:val="none"/>
        </w:rPr>
        <w:t>后得到了</w:t>
      </w:r>
      <w:r>
        <w:rPr>
          <w:rFonts w:hint="eastAsia" w:ascii="仿宋" w:hAnsi="仿宋" w:eastAsia="仿宋"/>
          <w:sz w:val="32"/>
          <w:szCs w:val="24"/>
          <w:highlight w:val="none"/>
          <w:lang w:val="en-US" w:eastAsia="zh-CN"/>
        </w:rPr>
        <w:t>治理区域内居民</w:t>
      </w:r>
      <w:r>
        <w:rPr>
          <w:rFonts w:hint="eastAsia" w:ascii="仿宋" w:hAnsi="仿宋" w:eastAsia="仿宋"/>
          <w:sz w:val="32"/>
          <w:szCs w:val="24"/>
          <w:highlight w:val="none"/>
        </w:rPr>
        <w:t>的认可，满意度达到</w:t>
      </w:r>
      <w:r>
        <w:rPr>
          <w:rFonts w:hint="eastAsia" w:ascii="仿宋" w:hAnsi="仿宋" w:eastAsia="仿宋"/>
          <w:sz w:val="32"/>
          <w:szCs w:val="24"/>
          <w:highlight w:val="none"/>
          <w:lang w:val="en-US" w:eastAsia="zh-CN"/>
        </w:rPr>
        <w:t>了89</w:t>
      </w:r>
      <w:r>
        <w:rPr>
          <w:rFonts w:hint="eastAsia" w:ascii="仿宋" w:hAnsi="仿宋" w:eastAsia="仿宋"/>
          <w:sz w:val="32"/>
          <w:szCs w:val="24"/>
          <w:highlight w:val="none"/>
        </w:rPr>
        <w:t xml:space="preserve">% </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未达到95%以上，扣2分</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楷体" w:hAnsi="楷体" w:eastAsia="楷体" w:cs="楷体"/>
          <w:b/>
          <w:bCs/>
          <w:kern w:val="2"/>
          <w:sz w:val="32"/>
          <w:szCs w:val="32"/>
          <w:highlight w:val="none"/>
          <w:lang w:val="en-US" w:eastAsia="zh-CN" w:bidi="ar-SA"/>
        </w:rPr>
      </w:pPr>
      <w:bookmarkStart w:id="32" w:name="_Toc7855"/>
      <w:bookmarkStart w:id="33" w:name="_Toc8605"/>
      <w:bookmarkStart w:id="34" w:name="_Toc24237"/>
      <w:bookmarkStart w:id="35" w:name="_Toc8181"/>
      <w:r>
        <w:rPr>
          <w:rFonts w:hint="eastAsia" w:ascii="楷体" w:hAnsi="楷体" w:eastAsia="楷体" w:cs="楷体"/>
          <w:b/>
          <w:bCs/>
          <w:kern w:val="2"/>
          <w:sz w:val="32"/>
          <w:szCs w:val="32"/>
          <w:highlight w:val="none"/>
          <w:lang w:val="en-US" w:eastAsia="zh-CN" w:bidi="ar-SA"/>
        </w:rPr>
        <w:t>（三）存在的问题和原因</w:t>
      </w:r>
      <w:bookmarkEnd w:id="32"/>
      <w:bookmarkEnd w:id="33"/>
      <w:bookmarkEnd w:id="34"/>
      <w:bookmarkEnd w:id="35"/>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2"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 xml:space="preserve">1、工程存在延期现象 </w:t>
      </w:r>
      <w:r>
        <w:rPr>
          <w:rFonts w:hint="eastAsia" w:ascii="仿宋" w:hAnsi="仿宋" w:eastAsia="仿宋" w:cs="仿宋"/>
          <w:b w:val="0"/>
          <w:bCs w:val="0"/>
          <w:color w:val="auto"/>
          <w:kern w:val="2"/>
          <w:sz w:val="32"/>
          <w:szCs w:val="32"/>
          <w:highlight w:val="none"/>
          <w:lang w:val="en-US" w:eastAsia="zh-CN" w:bidi="ar-SA"/>
        </w:rPr>
        <w:t>项目按计划于2021年12月16日开工，</w:t>
      </w:r>
      <w:r>
        <w:rPr>
          <w:rFonts w:hint="eastAsia" w:ascii="仿宋" w:hAnsi="仿宋" w:eastAsia="仿宋"/>
          <w:sz w:val="32"/>
          <w:szCs w:val="24"/>
          <w:highlight w:val="none"/>
          <w:lang w:val="en-US" w:eastAsia="zh-CN"/>
        </w:rPr>
        <w:t>合同约定工期为240天，</w:t>
      </w:r>
      <w:r>
        <w:rPr>
          <w:rFonts w:hint="eastAsia" w:ascii="仿宋" w:hAnsi="仿宋" w:eastAsia="仿宋" w:cs="仿宋"/>
          <w:sz w:val="32"/>
          <w:szCs w:val="32"/>
          <w:highlight w:val="none"/>
          <w:lang w:val="en-US" w:eastAsia="zh-CN"/>
        </w:rPr>
        <w:t>因项目提档升级，没有在计划完工日</w:t>
      </w:r>
      <w:r>
        <w:rPr>
          <w:rFonts w:hint="eastAsia" w:ascii="仿宋" w:hAnsi="仿宋" w:eastAsia="仿宋" w:cs="仿宋"/>
          <w:b w:val="0"/>
          <w:bCs w:val="0"/>
          <w:color w:val="auto"/>
          <w:kern w:val="2"/>
          <w:sz w:val="32"/>
          <w:szCs w:val="32"/>
          <w:highlight w:val="none"/>
          <w:lang w:val="en-US" w:eastAsia="zh-CN" w:bidi="ar-SA"/>
        </w:rPr>
        <w:t>2022年9月15日竣工，工程延期竣工验收。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2"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 xml:space="preserve">2、未按合同规定时间付款 </w:t>
      </w:r>
      <w:r>
        <w:rPr>
          <w:rFonts w:hint="eastAsia" w:ascii="仿宋" w:hAnsi="仿宋" w:eastAsia="仿宋" w:cs="仿宋"/>
          <w:b w:val="0"/>
          <w:bCs w:val="0"/>
          <w:color w:val="auto"/>
          <w:kern w:val="2"/>
          <w:sz w:val="32"/>
          <w:szCs w:val="32"/>
          <w:highlight w:val="none"/>
          <w:lang w:val="en-US" w:eastAsia="zh-CN" w:bidi="ar-SA"/>
        </w:rPr>
        <w:t>施工合同中关于工程进度款支付的约定，规定承包人完成总工程量的70%，发包人支付合同价款40%；工程竣工验收合格，支付至合同价款70%；出具审计报告后，发包人支付至工程审计价款97%，剩余工程审计款3%作为工程质保金。2024年2月2月，众合国际项目管理有限公司出具的《基本建设工程结算审核报告》审定金额为1,253.24万元。截止2024年12月，已付项目工程款867万元，支付比例69.18%,未达到“发包人支付至工程审计价款97%</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的约定。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60" w:lineRule="exact"/>
        <w:ind w:left="0" w:leftChars="0" w:right="0" w:firstLine="600"/>
        <w:jc w:val="left"/>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kern w:val="2"/>
          <w:sz w:val="32"/>
          <w:szCs w:val="32"/>
          <w:highlight w:val="none"/>
          <w:lang w:val="en-US" w:eastAsia="zh-CN" w:bidi="ar-SA"/>
        </w:rPr>
        <w:t xml:space="preserve">3、预算编制不够准确 </w:t>
      </w:r>
      <w:r>
        <w:rPr>
          <w:rFonts w:hint="eastAsia" w:ascii="仿宋" w:hAnsi="仿宋" w:eastAsia="仿宋" w:cstheme="minorBidi"/>
          <w:b w:val="0"/>
          <w:bCs/>
          <w:color w:val="000000" w:themeColor="text1"/>
          <w:kern w:val="2"/>
          <w:sz w:val="32"/>
          <w:szCs w:val="32"/>
          <w:highlight w:val="none"/>
          <w:lang w:val="en-US" w:eastAsia="zh-CN" w:bidi="ar-SA"/>
          <w14:textFill>
            <w14:solidFill>
              <w14:schemeClr w14:val="tx1"/>
            </w14:solidFill>
          </w14:textFill>
        </w:rPr>
        <w:t>咸宁市成功矿业有限公司矿山生态环境修复治理工程</w:t>
      </w:r>
      <w:r>
        <w:rPr>
          <w:rFonts w:hint="eastAsia" w:ascii="仿宋" w:hAnsi="仿宋" w:eastAsia="仿宋" w:cs="Arial"/>
          <w:bCs/>
          <w:caps/>
          <w:sz w:val="32"/>
          <w:szCs w:val="32"/>
          <w:highlight w:val="none"/>
        </w:rPr>
        <w:t>总投资1</w:t>
      </w:r>
      <w:r>
        <w:rPr>
          <w:rFonts w:hint="eastAsia" w:ascii="仿宋" w:hAnsi="仿宋" w:eastAsia="仿宋" w:cs="Arial"/>
          <w:bCs/>
          <w:caps/>
          <w:sz w:val="32"/>
          <w:szCs w:val="32"/>
          <w:highlight w:val="none"/>
          <w:lang w:val="en-US" w:eastAsia="zh-CN"/>
        </w:rPr>
        <w:t>2</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532</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360</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84</w:t>
      </w:r>
      <w:r>
        <w:rPr>
          <w:rFonts w:hint="eastAsia" w:ascii="仿宋" w:hAnsi="仿宋" w:eastAsia="仿宋" w:cs="Arial"/>
          <w:bCs/>
          <w:caps/>
          <w:sz w:val="32"/>
          <w:szCs w:val="32"/>
          <w:highlight w:val="none"/>
        </w:rPr>
        <w:t>元，与批准概（预）算总投资</w:t>
      </w:r>
      <w:r>
        <w:rPr>
          <w:rFonts w:hint="eastAsia" w:ascii="仿宋" w:hAnsi="仿宋" w:eastAsia="仿宋" w:cs="Arial"/>
          <w:bCs/>
          <w:caps/>
          <w:sz w:val="32"/>
          <w:szCs w:val="32"/>
          <w:highlight w:val="none"/>
          <w:lang w:val="en-US" w:eastAsia="zh-CN"/>
        </w:rPr>
        <w:t>11</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442</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562</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16</w:t>
      </w:r>
      <w:r>
        <w:rPr>
          <w:rFonts w:hint="eastAsia" w:ascii="仿宋" w:hAnsi="仿宋" w:eastAsia="仿宋" w:cs="Arial"/>
          <w:bCs/>
          <w:caps/>
          <w:sz w:val="32"/>
          <w:szCs w:val="32"/>
          <w:highlight w:val="none"/>
        </w:rPr>
        <w:t>元比，</w:t>
      </w:r>
      <w:r>
        <w:rPr>
          <w:rFonts w:hint="eastAsia" w:ascii="仿宋" w:hAnsi="仿宋" w:eastAsia="仿宋" w:cs="Arial"/>
          <w:bCs/>
          <w:caps/>
          <w:sz w:val="32"/>
          <w:szCs w:val="32"/>
          <w:highlight w:val="none"/>
          <w:lang w:val="en-US" w:eastAsia="zh-CN"/>
        </w:rPr>
        <w:t>增加</w:t>
      </w:r>
      <w:r>
        <w:rPr>
          <w:rFonts w:hint="eastAsia" w:ascii="仿宋" w:hAnsi="仿宋" w:eastAsia="仿宋" w:cs="Arial"/>
          <w:bCs/>
          <w:caps/>
          <w:sz w:val="32"/>
          <w:szCs w:val="32"/>
          <w:highlight w:val="none"/>
        </w:rPr>
        <w:t>投资1,</w:t>
      </w:r>
      <w:r>
        <w:rPr>
          <w:rFonts w:hint="eastAsia" w:ascii="仿宋" w:hAnsi="仿宋" w:eastAsia="仿宋" w:cs="Arial"/>
          <w:bCs/>
          <w:caps/>
          <w:sz w:val="32"/>
          <w:szCs w:val="32"/>
          <w:highlight w:val="none"/>
          <w:lang w:val="en-US" w:eastAsia="zh-CN"/>
        </w:rPr>
        <w:t>089</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798</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68</w:t>
      </w:r>
      <w:r>
        <w:rPr>
          <w:rFonts w:hint="eastAsia" w:ascii="仿宋" w:hAnsi="仿宋" w:eastAsia="仿宋" w:cs="Arial"/>
          <w:bCs/>
          <w:caps/>
          <w:sz w:val="32"/>
          <w:szCs w:val="32"/>
          <w:highlight w:val="none"/>
        </w:rPr>
        <w:t>元，</w:t>
      </w:r>
      <w:r>
        <w:rPr>
          <w:rFonts w:hint="eastAsia" w:ascii="仿宋" w:hAnsi="仿宋" w:eastAsia="仿宋" w:cs="Arial"/>
          <w:bCs/>
          <w:caps/>
          <w:sz w:val="32"/>
          <w:szCs w:val="32"/>
          <w:highlight w:val="none"/>
          <w:lang w:val="en-US" w:eastAsia="zh-CN"/>
        </w:rPr>
        <w:t>增幅为9</w:t>
      </w:r>
      <w:r>
        <w:rPr>
          <w:rFonts w:hint="eastAsia" w:ascii="仿宋" w:hAnsi="仿宋" w:eastAsia="仿宋" w:cs="Arial"/>
          <w:bCs/>
          <w:caps/>
          <w:sz w:val="32"/>
          <w:szCs w:val="32"/>
          <w:highlight w:val="none"/>
        </w:rPr>
        <w:t>.</w:t>
      </w:r>
      <w:r>
        <w:rPr>
          <w:rFonts w:hint="eastAsia" w:ascii="仿宋" w:hAnsi="仿宋" w:eastAsia="仿宋" w:cs="Arial"/>
          <w:bCs/>
          <w:caps/>
          <w:sz w:val="32"/>
          <w:szCs w:val="32"/>
          <w:highlight w:val="none"/>
          <w:lang w:val="en-US" w:eastAsia="zh-CN"/>
        </w:rPr>
        <w:t>5</w:t>
      </w:r>
      <w:r>
        <w:rPr>
          <w:rFonts w:hint="eastAsia" w:ascii="仿宋" w:hAnsi="仿宋" w:eastAsia="仿宋" w:cs="Arial"/>
          <w:bCs/>
          <w:caps/>
          <w:sz w:val="32"/>
          <w:szCs w:val="32"/>
          <w:highlight w:val="none"/>
        </w:rPr>
        <w:t>2%</w:t>
      </w:r>
      <w:r>
        <w:rPr>
          <w:rFonts w:hint="eastAsia" w:ascii="仿宋" w:hAnsi="仿宋" w:eastAsia="仿宋" w:cs="Arial"/>
          <w:bCs/>
          <w:caps/>
          <w:sz w:val="32"/>
          <w:szCs w:val="32"/>
          <w:highlight w:val="none"/>
          <w:lang w:eastAsia="zh-CN"/>
        </w:rPr>
        <w:t>。</w:t>
      </w:r>
      <w:r>
        <w:rPr>
          <w:rFonts w:hint="eastAsia" w:ascii="仿宋" w:hAnsi="仿宋" w:eastAsia="仿宋" w:cs="Arial"/>
          <w:bCs/>
          <w:caps/>
          <w:sz w:val="32"/>
          <w:szCs w:val="32"/>
          <w:highlight w:val="none"/>
        </w:rPr>
        <w:t>主要是设计不准确，</w:t>
      </w:r>
      <w:r>
        <w:rPr>
          <w:rFonts w:hint="eastAsia" w:ascii="仿宋" w:hAnsi="仿宋" w:eastAsia="仿宋" w:cs="Arial"/>
          <w:bCs/>
          <w:caps/>
          <w:sz w:val="32"/>
          <w:szCs w:val="32"/>
          <w:highlight w:val="none"/>
          <w:lang w:val="en-US" w:eastAsia="zh-CN"/>
        </w:rPr>
        <w:t>存在提档升级</w:t>
      </w:r>
      <w:r>
        <w:rPr>
          <w:rFonts w:hint="eastAsia" w:ascii="仿宋" w:hAnsi="仿宋" w:eastAsia="仿宋" w:cs="Arial"/>
          <w:bCs/>
          <w:caps/>
          <w:sz w:val="32"/>
          <w:szCs w:val="32"/>
          <w:highlight w:val="none"/>
        </w:rPr>
        <w:t>费用发生。</w:t>
      </w:r>
    </w:p>
    <w:p>
      <w:pPr>
        <w:pageBreakBefore w:val="0"/>
        <w:kinsoku/>
        <w:wordWrap/>
        <w:overflowPunct/>
        <w:topLinePunct w:val="0"/>
        <w:autoSpaceDE/>
        <w:autoSpaceDN/>
        <w:bidi w:val="0"/>
        <w:snapToGrid/>
        <w:spacing w:line="560" w:lineRule="exact"/>
        <w:ind w:leftChars="0" w:firstLine="642" w:firstLineChars="200"/>
        <w:jc w:val="left"/>
        <w:rPr>
          <w:rFonts w:hint="eastAsia" w:ascii="仿宋" w:hAnsi="仿宋" w:eastAsia="仿宋" w:cs="仿宋"/>
          <w:i w:val="0"/>
          <w:iCs w:val="0"/>
          <w:caps w:val="0"/>
          <w:color w:val="595959"/>
          <w:spacing w:val="0"/>
          <w:kern w:val="0"/>
          <w:sz w:val="30"/>
          <w:szCs w:val="30"/>
          <w:highlight w:val="none"/>
          <w:shd w:val="clear" w:color="auto" w:fill="FFFFFF"/>
          <w:lang w:val="en-US" w:eastAsia="zh-CN" w:bidi="ar"/>
        </w:rPr>
      </w:pPr>
      <w:r>
        <w:rPr>
          <w:rFonts w:hint="eastAsia" w:ascii="楷体" w:hAnsi="楷体" w:eastAsia="楷体" w:cs="楷体"/>
          <w:b/>
          <w:bCs/>
          <w:kern w:val="2"/>
          <w:sz w:val="32"/>
          <w:szCs w:val="32"/>
          <w:highlight w:val="none"/>
          <w:lang w:val="en-US" w:eastAsia="zh-CN" w:bidi="ar-SA"/>
        </w:rPr>
        <w:t xml:space="preserve">4、缺乏长效管理机制  </w:t>
      </w:r>
      <w:r>
        <w:rPr>
          <w:rFonts w:hint="eastAsia" w:ascii="仿宋" w:hAnsi="仿宋" w:eastAsia="仿宋" w:cstheme="minorBidi"/>
          <w:b w:val="0"/>
          <w:bCs/>
          <w:color w:val="000000" w:themeColor="text1"/>
          <w:kern w:val="2"/>
          <w:sz w:val="32"/>
          <w:szCs w:val="32"/>
          <w:highlight w:val="none"/>
          <w:lang w:val="en-US" w:eastAsia="zh-CN" w:bidi="ar-SA"/>
          <w14:textFill>
            <w14:solidFill>
              <w14:schemeClr w14:val="tx1"/>
            </w14:solidFill>
          </w14:textFill>
        </w:rPr>
        <w:t>咸宁市成功矿业有限公司矿山生态环境修复治理工程竣工验收后，未办理资产交付手续，缺乏长期管护制度和责任主体，后续养护管理有待加强。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楷体" w:hAnsi="楷体" w:eastAsia="楷体" w:cs="楷体"/>
          <w:b/>
          <w:bCs/>
          <w:kern w:val="2"/>
          <w:sz w:val="32"/>
          <w:szCs w:val="32"/>
          <w:highlight w:val="none"/>
          <w:lang w:val="en-US" w:eastAsia="zh-CN" w:bidi="ar-SA"/>
        </w:rPr>
      </w:pPr>
      <w:bookmarkStart w:id="36" w:name="_Toc23261"/>
      <w:bookmarkStart w:id="37" w:name="_Toc4108"/>
      <w:bookmarkStart w:id="38" w:name="_Toc4272"/>
      <w:r>
        <w:rPr>
          <w:rFonts w:hint="eastAsia" w:ascii="楷体" w:hAnsi="楷体" w:eastAsia="楷体" w:cs="楷体"/>
          <w:b/>
          <w:bCs/>
          <w:kern w:val="2"/>
          <w:sz w:val="32"/>
          <w:szCs w:val="32"/>
          <w:highlight w:val="none"/>
          <w:lang w:val="en-US" w:eastAsia="zh-CN" w:bidi="ar-SA"/>
        </w:rPr>
        <w:t>（四）结果应用建议</w:t>
      </w:r>
      <w:bookmarkEnd w:id="36"/>
      <w:bookmarkEnd w:id="37"/>
      <w:bookmarkEnd w:id="38"/>
      <w:r>
        <w:rPr>
          <w:rFonts w:hint="eastAsia" w:ascii="楷体" w:hAnsi="楷体" w:eastAsia="楷体" w:cs="楷体"/>
          <w:b/>
          <w:bCs/>
          <w:kern w:val="2"/>
          <w:sz w:val="32"/>
          <w:szCs w:val="32"/>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snapToGrid/>
        <w:spacing w:line="560" w:lineRule="exact"/>
        <w:ind w:leftChars="0" w:firstLine="642" w:firstLineChars="200"/>
        <w:jc w:val="both"/>
        <w:rPr>
          <w:rFonts w:hint="default"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1.存在问题改进建议</w:t>
      </w:r>
    </w:p>
    <w:p>
      <w:pPr>
        <w:pageBreakBefore w:val="0"/>
        <w:numPr>
          <w:ilvl w:val="0"/>
          <w:numId w:val="3"/>
        </w:numPr>
        <w:kinsoku/>
        <w:wordWrap/>
        <w:overflowPunct/>
        <w:topLinePunct w:val="0"/>
        <w:autoSpaceDE/>
        <w:autoSpaceDN/>
        <w:bidi w:val="0"/>
        <w:snapToGrid/>
        <w:spacing w:line="560" w:lineRule="exact"/>
        <w:ind w:leftChars="0" w:firstLine="640" w:firstLineChars="200"/>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建议咸安区自然资源和规划局会同有关职能部门联合统筹推动本项目后期移交程序，推进移交进度，确保项目接收部门落实到位，明确项目管护责任方，提高项目后期运营规范程度。</w:t>
      </w:r>
    </w:p>
    <w:p>
      <w:pPr>
        <w:pageBreakBefore w:val="0"/>
        <w:numPr>
          <w:ilvl w:val="0"/>
          <w:numId w:val="3"/>
        </w:numPr>
        <w:kinsoku/>
        <w:wordWrap/>
        <w:overflowPunct/>
        <w:topLinePunct w:val="0"/>
        <w:autoSpaceDE/>
        <w:autoSpaceDN/>
        <w:bidi w:val="0"/>
        <w:snapToGrid/>
        <w:spacing w:line="560" w:lineRule="exact"/>
        <w:ind w:leftChars="0" w:firstLine="640" w:firstLineChars="200"/>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对制定的合同严格执行，合同中规定的付款时间应与工程项目完工进度相符，确保预算执行率。</w:t>
      </w:r>
    </w:p>
    <w:p>
      <w:pPr>
        <w:pageBreakBefore w:val="0"/>
        <w:numPr>
          <w:ilvl w:val="0"/>
          <w:numId w:val="3"/>
        </w:numPr>
        <w:kinsoku/>
        <w:wordWrap/>
        <w:overflowPunct/>
        <w:topLinePunct w:val="0"/>
        <w:autoSpaceDE/>
        <w:autoSpaceDN/>
        <w:bidi w:val="0"/>
        <w:snapToGrid/>
        <w:spacing w:line="560" w:lineRule="exact"/>
        <w:ind w:leftChars="0" w:firstLine="640" w:firstLineChars="200"/>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加强施工过程管理，强化施工进度动态管理，确保工程按期完工。</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320" w:firstLineChars="100"/>
        <w:textAlignment w:val="auto"/>
        <w:rPr>
          <w:rFonts w:hint="default" w:ascii="仿宋_GB2312" w:hAnsi="仿宋" w:eastAsia="仿宋_GB2312" w:cs="Times New Roman"/>
          <w:sz w:val="32"/>
          <w:szCs w:val="32"/>
          <w:highlight w:val="none"/>
          <w:lang w:val="en-US" w:eastAsia="zh-CN" w:bidi="ar-SA"/>
        </w:rPr>
      </w:pPr>
      <w:bookmarkStart w:id="39" w:name="_Toc7805"/>
      <w:r>
        <w:rPr>
          <w:rFonts w:hint="eastAsia" w:ascii="仿宋_GB2312" w:hAnsi="仿宋" w:eastAsia="仿宋_GB2312" w:cs="Times New Roman"/>
          <w:b w:val="0"/>
          <w:kern w:val="2"/>
          <w:sz w:val="32"/>
          <w:szCs w:val="32"/>
          <w:highlight w:val="none"/>
          <w:lang w:val="en-US" w:eastAsia="zh-CN" w:bidi="ar-SA"/>
        </w:rPr>
        <w:t>（4）</w:t>
      </w:r>
      <w:bookmarkStart w:id="40" w:name="_Toc9837"/>
      <w:r>
        <w:rPr>
          <w:rFonts w:hint="eastAsia" w:ascii="仿宋_GB2312" w:hAnsi="仿宋" w:eastAsia="仿宋_GB2312" w:cs="Times New Roman"/>
          <w:b w:val="0"/>
          <w:kern w:val="2"/>
          <w:sz w:val="32"/>
          <w:szCs w:val="32"/>
          <w:highlight w:val="none"/>
          <w:lang w:val="en-US" w:eastAsia="zh-CN" w:bidi="ar-SA"/>
        </w:rPr>
        <w:t>预算编制过程中，应加强预算项目设立和预算资金分配的科学性和透明度，提高预算编制质量和效率，在预算编制过程中，应充分考虑设计方案和落地的差异，结合项目实际情况，合理编制预算，提高预算编制准确性。</w:t>
      </w:r>
      <w:bookmarkEnd w:id="39"/>
      <w:bookmarkEnd w:id="40"/>
    </w:p>
    <w:p>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2" w:firstLineChars="200"/>
        <w:jc w:val="both"/>
        <w:textAlignment w:val="auto"/>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val="en-US" w:eastAsia="zh-CN" w:bidi="ar"/>
        </w:rPr>
        <w:t>2.结果应用</w:t>
      </w:r>
    </w:p>
    <w:p>
      <w:pPr>
        <w:pageBreakBefore w:val="0"/>
        <w:kinsoku/>
        <w:wordWrap/>
        <w:overflowPunct/>
        <w:topLinePunct w:val="0"/>
        <w:autoSpaceDE/>
        <w:autoSpaceDN/>
        <w:bidi w:val="0"/>
        <w:snapToGrid/>
        <w:spacing w:line="560" w:lineRule="exact"/>
        <w:ind w:leftChars="0" w:firstLine="640" w:firstLineChars="200"/>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sz w:val="32"/>
          <w:szCs w:val="24"/>
          <w:highlight w:val="none"/>
        </w:rPr>
        <w:t>本次绩效评价评级为</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良”</w:t>
      </w:r>
      <w:r>
        <w:rPr>
          <w:rFonts w:hint="eastAsia" w:ascii="仿宋" w:hAnsi="仿宋" w:eastAsia="仿宋"/>
          <w:sz w:val="32"/>
          <w:szCs w:val="24"/>
          <w:highlight w:val="none"/>
        </w:rPr>
        <w:t>，</w:t>
      </w:r>
      <w:r>
        <w:rPr>
          <w:rFonts w:hint="eastAsia" w:ascii="仿宋" w:hAnsi="仿宋" w:eastAsia="仿宋"/>
          <w:sz w:val="32"/>
          <w:szCs w:val="24"/>
          <w:highlight w:val="none"/>
          <w:lang w:val="en-US" w:eastAsia="zh-CN"/>
        </w:rPr>
        <w:t>咸安</w:t>
      </w:r>
      <w:r>
        <w:rPr>
          <w:rFonts w:hint="eastAsia" w:ascii="仿宋" w:hAnsi="仿宋" w:eastAsia="仿宋"/>
          <w:sz w:val="32"/>
          <w:szCs w:val="24"/>
          <w:highlight w:val="none"/>
        </w:rPr>
        <w:t>区</w:t>
      </w:r>
      <w:r>
        <w:rPr>
          <w:rFonts w:hint="eastAsia" w:ascii="仿宋" w:hAnsi="仿宋" w:eastAsia="仿宋"/>
          <w:sz w:val="32"/>
          <w:szCs w:val="24"/>
          <w:highlight w:val="none"/>
          <w:lang w:val="en-US" w:eastAsia="zh-CN"/>
        </w:rPr>
        <w:t>自然资源和规划</w:t>
      </w:r>
      <w:r>
        <w:rPr>
          <w:rFonts w:hint="eastAsia" w:ascii="仿宋" w:hAnsi="仿宋" w:eastAsia="仿宋"/>
          <w:sz w:val="32"/>
          <w:szCs w:val="24"/>
          <w:highlight w:val="none"/>
        </w:rPr>
        <w:t>局</w:t>
      </w:r>
      <w:r>
        <w:rPr>
          <w:rFonts w:hint="eastAsia" w:ascii="仿宋" w:hAnsi="仿宋" w:eastAsia="仿宋"/>
          <w:sz w:val="32"/>
          <w:szCs w:val="24"/>
          <w:highlight w:val="none"/>
          <w:lang w:val="en-US" w:eastAsia="zh-CN"/>
        </w:rPr>
        <w:t>应强化施工进度动态管理，确保工程按期完工，会同上级主管部门对工程进行验收，推动资产移交进度</w:t>
      </w:r>
      <w:r>
        <w:rPr>
          <w:rFonts w:hint="eastAsia" w:ascii="仿宋" w:hAnsi="仿宋" w:eastAsia="仿宋"/>
          <w:sz w:val="32"/>
          <w:szCs w:val="24"/>
          <w:highlight w:val="none"/>
          <w:lang w:eastAsia="zh-CN"/>
        </w:rPr>
        <w:t>。</w:t>
      </w:r>
      <w:r>
        <w:rPr>
          <w:rFonts w:hint="eastAsia" w:ascii="仿宋" w:hAnsi="仿宋" w:eastAsia="仿宋"/>
          <w:sz w:val="32"/>
          <w:szCs w:val="24"/>
          <w:highlight w:val="none"/>
          <w:lang w:val="en-US" w:eastAsia="zh-CN"/>
        </w:rPr>
        <w:t>咸安</w:t>
      </w:r>
      <w:r>
        <w:rPr>
          <w:rFonts w:hint="eastAsia" w:ascii="仿宋" w:hAnsi="仿宋" w:eastAsia="仿宋"/>
          <w:sz w:val="32"/>
          <w:szCs w:val="24"/>
          <w:highlight w:val="none"/>
        </w:rPr>
        <w:t>区财政局在安排以后年度预算时，应对</w:t>
      </w:r>
      <w:r>
        <w:rPr>
          <w:rFonts w:hint="eastAsia" w:ascii="仿宋" w:hAnsi="仿宋" w:eastAsia="仿宋"/>
          <w:sz w:val="32"/>
          <w:szCs w:val="24"/>
          <w:highlight w:val="none"/>
          <w:lang w:val="en-US" w:eastAsia="zh-CN"/>
        </w:rPr>
        <w:t>咸安</w:t>
      </w:r>
      <w:r>
        <w:rPr>
          <w:rFonts w:hint="eastAsia" w:ascii="仿宋" w:hAnsi="仿宋" w:eastAsia="仿宋"/>
          <w:sz w:val="32"/>
          <w:szCs w:val="24"/>
          <w:highlight w:val="none"/>
        </w:rPr>
        <w:t>区</w:t>
      </w:r>
      <w:r>
        <w:rPr>
          <w:rFonts w:hint="eastAsia" w:ascii="仿宋" w:hAnsi="仿宋" w:eastAsia="仿宋"/>
          <w:sz w:val="32"/>
          <w:szCs w:val="24"/>
          <w:highlight w:val="none"/>
          <w:lang w:val="en-US" w:eastAsia="zh-CN"/>
        </w:rPr>
        <w:t>自然资源和规划</w:t>
      </w:r>
      <w:r>
        <w:rPr>
          <w:rFonts w:hint="eastAsia" w:ascii="仿宋" w:hAnsi="仿宋" w:eastAsia="仿宋"/>
          <w:sz w:val="32"/>
          <w:szCs w:val="24"/>
          <w:highlight w:val="none"/>
        </w:rPr>
        <w:t>局本年度问题整改的情况作为重要参考。</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outlineLvl w:val="0"/>
        <w:rPr>
          <w:rFonts w:hint="eastAsia" w:ascii="黑体" w:hAnsi="黑体" w:eastAsia="黑体" w:cs="黑体"/>
          <w:b/>
          <w:bCs/>
          <w:sz w:val="32"/>
          <w:szCs w:val="32"/>
          <w:highlight w:val="none"/>
          <w:lang w:val="en-US" w:eastAsia="zh-CN"/>
        </w:rPr>
      </w:pPr>
      <w:bookmarkStart w:id="41" w:name="_Toc13561"/>
    </w:p>
    <w:bookmarkEnd w:id="41"/>
    <w:p>
      <w:pPr>
        <w:pStyle w:val="22"/>
        <w:keepNext w:val="0"/>
        <w:keepLines w:val="0"/>
        <w:pageBreakBefore w:val="0"/>
        <w:widowControl w:val="0"/>
        <w:numPr>
          <w:ilvl w:val="0"/>
          <w:numId w:val="0"/>
        </w:numPr>
        <w:kinsoku/>
        <w:wordWrap/>
        <w:overflowPunct/>
        <w:topLinePunct w:val="0"/>
        <w:autoSpaceDE/>
        <w:autoSpaceDN/>
        <w:bidi w:val="0"/>
        <w:adjustRightInd w:val="0"/>
        <w:snapToGrid/>
        <w:ind w:left="629" w:leftChars="0"/>
        <w:jc w:val="left"/>
        <w:textAlignment w:val="baseline"/>
        <w:outlineLvl w:val="0"/>
        <w:rPr>
          <w:rFonts w:hint="default" w:ascii="黑体" w:hAnsi="黑体" w:eastAsia="黑体" w:cs="黑体"/>
          <w:b/>
          <w:bCs w:val="0"/>
          <w:color w:val="auto"/>
          <w:sz w:val="32"/>
          <w:szCs w:val="32"/>
          <w:highlight w:val="none"/>
          <w:lang w:val="en-US" w:eastAsia="zh-CN"/>
        </w:rPr>
      </w:pPr>
    </w:p>
    <w:sectPr>
      <w:headerReference r:id="rId3" w:type="default"/>
      <w:footerReference r:id="rId4" w:type="default"/>
      <w:pgSz w:w="11906" w:h="16838"/>
      <w:pgMar w:top="964" w:right="1474" w:bottom="850" w:left="1587" w:header="1304" w:footer="136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b w:val="0"/>
        <w:bCs w:val="0"/>
        <w:kern w:val="2"/>
        <w:sz w:val="24"/>
        <w:szCs w:val="24"/>
        <w:highlight w:val="none"/>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-19685</wp:posOffset>
              </wp:positionV>
              <wp:extent cx="5585460" cy="5080"/>
              <wp:effectExtent l="0" t="13970" r="2540" b="19050"/>
              <wp:wrapNone/>
              <wp:docPr id="212" name="直接连接符 212"/>
              <wp:cNvGraphicFramePr/>
              <a:graphic xmlns:a="http://schemas.openxmlformats.org/drawingml/2006/main">
                <a:graphicData uri="http://schemas.microsoft.com/office/word/2010/wordprocessingShape">
                  <wps:wsp>
                    <wps:cNvCnPr/>
                    <wps:spPr>
                      <a:xfrm>
                        <a:off x="1014095" y="9713595"/>
                        <a:ext cx="5585460" cy="5080"/>
                      </a:xfrm>
                      <a:prstGeom prst="line">
                        <a:avLst/>
                      </a:prstGeom>
                      <a:ln w="28575" cmpd="dbl">
                        <a:solidFill>
                          <a:schemeClr val="accent1">
                            <a:shade val="50000"/>
                            <a:alpha val="69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55pt;height:0.4pt;width:439.8pt;z-index:251662336;mso-width-relative:page;mso-height-relative:page;" filled="f" stroked="t" coordsize="21600,21600" o:gfxdata="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AgisyaEQIAAPwDAAAOAAAAAAAAAAEAIAAAAD0BAABkcnMvZTJvRG9jLnhtbFBLAQIUABQAAAAI&#10;AIdO4kBUQmGy2AAAAAcBAAAPAAAAAAAAAAEAIAAAADgAAABkcnMvZG93bnJldi54bWxQSwUGAAAA&#10;AAYABgBZAQAAwAUAAAAA&#10;">
              <v:fill on="f" focussize="0,0"/>
              <v:stroke weight="2.25pt" color="#2F528F [3204]" opacity="45219f" linestyle="thinThin" miterlimit="8" joinstyle="miter"/>
              <v:imagedata o:title=""/>
              <o:lock v:ext="edit" aspectratio="f"/>
            </v:line>
          </w:pict>
        </mc:Fallback>
      </mc:AlternateContent>
    </w:r>
    <w:r>
      <w:rPr>
        <w:rFonts w:hint="eastAsia" w:ascii="仿宋" w:hAnsi="仿宋" w:eastAsia="仿宋" w:cs="仿宋"/>
        <w:b w:val="0"/>
        <w:bCs w:val="0"/>
        <w:kern w:val="2"/>
        <w:sz w:val="24"/>
        <w:szCs w:val="24"/>
        <w:highlight w:val="none"/>
        <w:lang w:val="en-US" w:eastAsia="zh-CN" w:bidi="ar-SA"/>
      </w:rPr>
      <w:t>河南德利达会计师事务所（普通合伙）地址：郑州市金水区丰产路街道黄河路1号院</w:t>
    </w:r>
  </w:p>
  <w:p>
    <w:pPr>
      <w:pStyle w:val="14"/>
      <w:jc w:val="left"/>
      <w:rPr>
        <w:rFonts w:hint="default" w:ascii="仿宋" w:hAnsi="仿宋" w:eastAsia="仿宋" w:cs="仿宋"/>
        <w:b w:val="0"/>
        <w:bCs w:val="0"/>
        <w:kern w:val="2"/>
        <w:sz w:val="24"/>
        <w:szCs w:val="24"/>
        <w:highlight w:val="none"/>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margin">
                <wp:posOffset>5521325</wp:posOffset>
              </wp:positionH>
              <wp:positionV relativeFrom="paragraph">
                <wp:posOffset>69215</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4.75pt;margin-top:5.45pt;height:144pt;width:144pt;mso-position-horizontal-relative:margin;mso-wrap-style:none;z-index:251663360;mso-width-relative:page;mso-height-relative:page;" filled="f" stroked="f" coordsize="21600,21600" o:gfxdata="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b w:val="0"/>
        <w:bCs w:val="0"/>
        <w:kern w:val="2"/>
        <w:sz w:val="24"/>
        <w:szCs w:val="24"/>
        <w:highlight w:val="none"/>
        <w:lang w:val="en-US" w:eastAsia="zh-CN" w:bidi="ar-SA"/>
      </w:rPr>
      <w:t>公司电话：0371-65716502/0715-8906636  主评人郭良民电话：18538602898</w:t>
    </w:r>
  </w:p>
  <w:p>
    <w:pPr>
      <w:pStyle w:val="14"/>
      <w:jc w:val="left"/>
      <w:rPr>
        <w:rFonts w:hint="default" w:ascii="仿宋" w:hAnsi="仿宋" w:eastAsia="仿宋" w:cs="仿宋"/>
        <w:b w:val="0"/>
        <w:bCs w:val="0"/>
        <w:kern w:val="2"/>
        <w:sz w:val="24"/>
        <w:szCs w:val="24"/>
        <w:highlight w:val="none"/>
        <w:lang w:val="en-US" w:eastAsia="zh-CN" w:bidi="ar-SA"/>
      </w:rPr>
    </w:pP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2F528F" w:sz="12" w:space="1"/>
      </w:pBdr>
      <w:tabs>
        <w:tab w:val="left" w:pos="7990"/>
        <w:tab w:val="clear" w:pos="8306"/>
      </w:tabs>
      <w:jc w:val="left"/>
      <w:rPr>
        <w:rFonts w:hint="default"/>
        <w:lang w:val="en-US"/>
        <w14:textOutline w14:w="28575" w14:cmpd="dbl">
          <w14:solidFill>
            <w14:schemeClr w14:val="accent1">
              <w14:alpha w14:val="0"/>
            </w14:schemeClr>
          </w14:solidFill>
          <w14:prstDash w14:val="solid"/>
          <w14:round/>
        </w14:textOutline>
      </w:rPr>
    </w:pPr>
    <w:r>
      <w:rPr>
        <w:rFonts w:hint="eastAsia"/>
        <w:lang w:val="en-US" w:eastAsia="zh-CN"/>
      </w:rPr>
      <w:t>咸宁市成功矿业有限公司矿山生态环境修复治理工程绩效评价报告</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s/vGR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both"/>
                            <w:textAlignment w:val="auto"/>
                            <w:outlineLvl w:val="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both"/>
                      <w:textAlignment w:val="auto"/>
                      <w:outlineLvl w:val="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0982"/>
    <w:multiLevelType w:val="singleLevel"/>
    <w:tmpl w:val="99760982"/>
    <w:lvl w:ilvl="0" w:tentative="0">
      <w:start w:val="1"/>
      <w:numFmt w:val="decimal"/>
      <w:suff w:val="nothing"/>
      <w:lvlText w:val="（%1）"/>
      <w:lvlJc w:val="left"/>
    </w:lvl>
  </w:abstractNum>
  <w:abstractNum w:abstractNumId="1">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3"/>
      <w:suff w:val="nothing"/>
      <w:lvlText w:val="（%2）"/>
      <w:lvlJc w:val="left"/>
      <w:pPr>
        <w:tabs>
          <w:tab w:val="left" w:pos="0"/>
        </w:tabs>
        <w:ind w:left="0" w:firstLine="0"/>
      </w:pPr>
      <w:rPr>
        <w:rFonts w:hint="eastAsia" w:ascii="黑体" w:hAnsi="黑体" w:eastAsia="黑体"/>
      </w:rPr>
    </w:lvl>
    <w:lvl w:ilvl="2" w:tentative="0">
      <w:start w:val="1"/>
      <w:numFmt w:val="decimal"/>
      <w:pStyle w:val="4"/>
      <w:suff w:val="nothing"/>
      <w:lvlText w:val="%3．"/>
      <w:lvlJc w:val="left"/>
      <w:pPr>
        <w:tabs>
          <w:tab w:val="left" w:pos="0"/>
        </w:tabs>
        <w:ind w:left="0" w:firstLine="400"/>
      </w:pPr>
      <w:rPr>
        <w:rFonts w:hint="eastAsia" w:ascii="黑体" w:hAnsi="黑体" w:eastAsia="黑体"/>
      </w:rPr>
    </w:lvl>
    <w:lvl w:ilvl="3" w:tentative="0">
      <w:start w:val="1"/>
      <w:numFmt w:val="decimal"/>
      <w:pStyle w:val="5"/>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3344E2F3"/>
    <w:multiLevelType w:val="singleLevel"/>
    <w:tmpl w:val="3344E2F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OGI5ZTdhMjMyMDU1ZDcxYzIwMWMwOWQ1NjliZjAifQ=="/>
  </w:docVars>
  <w:rsids>
    <w:rsidRoot w:val="00172A27"/>
    <w:rsid w:val="00014ACF"/>
    <w:rsid w:val="000153CE"/>
    <w:rsid w:val="000179A0"/>
    <w:rsid w:val="0002141F"/>
    <w:rsid w:val="00023449"/>
    <w:rsid w:val="00025361"/>
    <w:rsid w:val="000322B6"/>
    <w:rsid w:val="0003661F"/>
    <w:rsid w:val="0004008E"/>
    <w:rsid w:val="00041D61"/>
    <w:rsid w:val="000448A0"/>
    <w:rsid w:val="0006002B"/>
    <w:rsid w:val="00061F1F"/>
    <w:rsid w:val="00063B45"/>
    <w:rsid w:val="00064465"/>
    <w:rsid w:val="00070646"/>
    <w:rsid w:val="000722B9"/>
    <w:rsid w:val="00074C37"/>
    <w:rsid w:val="00081326"/>
    <w:rsid w:val="00090526"/>
    <w:rsid w:val="00091629"/>
    <w:rsid w:val="00092878"/>
    <w:rsid w:val="000A12F9"/>
    <w:rsid w:val="000A3D8B"/>
    <w:rsid w:val="000A596F"/>
    <w:rsid w:val="000B0767"/>
    <w:rsid w:val="000C47F3"/>
    <w:rsid w:val="000D3594"/>
    <w:rsid w:val="000D3E03"/>
    <w:rsid w:val="000D7D33"/>
    <w:rsid w:val="000E6E2B"/>
    <w:rsid w:val="000F3803"/>
    <w:rsid w:val="000F6030"/>
    <w:rsid w:val="001033EC"/>
    <w:rsid w:val="00106B34"/>
    <w:rsid w:val="00113240"/>
    <w:rsid w:val="00114A71"/>
    <w:rsid w:val="0014111A"/>
    <w:rsid w:val="001440BC"/>
    <w:rsid w:val="00151ABA"/>
    <w:rsid w:val="00156AF0"/>
    <w:rsid w:val="001610A8"/>
    <w:rsid w:val="0016487B"/>
    <w:rsid w:val="00166AB1"/>
    <w:rsid w:val="0017326F"/>
    <w:rsid w:val="001902A4"/>
    <w:rsid w:val="001A4436"/>
    <w:rsid w:val="001B050D"/>
    <w:rsid w:val="001B100C"/>
    <w:rsid w:val="001B4734"/>
    <w:rsid w:val="001B6342"/>
    <w:rsid w:val="001D0F36"/>
    <w:rsid w:val="001D446B"/>
    <w:rsid w:val="001D4571"/>
    <w:rsid w:val="001D4B5E"/>
    <w:rsid w:val="001D57D4"/>
    <w:rsid w:val="001E20CB"/>
    <w:rsid w:val="001E6EB9"/>
    <w:rsid w:val="0020158B"/>
    <w:rsid w:val="00201DDD"/>
    <w:rsid w:val="002025E9"/>
    <w:rsid w:val="002033C5"/>
    <w:rsid w:val="00215B3B"/>
    <w:rsid w:val="00224CCC"/>
    <w:rsid w:val="00227450"/>
    <w:rsid w:val="00244DE1"/>
    <w:rsid w:val="0025420D"/>
    <w:rsid w:val="00254F94"/>
    <w:rsid w:val="00255CDA"/>
    <w:rsid w:val="002577DA"/>
    <w:rsid w:val="002600A8"/>
    <w:rsid w:val="00264E6F"/>
    <w:rsid w:val="00265AF8"/>
    <w:rsid w:val="0028068E"/>
    <w:rsid w:val="002813C4"/>
    <w:rsid w:val="00281DDE"/>
    <w:rsid w:val="00286DAD"/>
    <w:rsid w:val="00290F5F"/>
    <w:rsid w:val="00291DB2"/>
    <w:rsid w:val="002B35C7"/>
    <w:rsid w:val="002B3AFB"/>
    <w:rsid w:val="002B5717"/>
    <w:rsid w:val="002B65D6"/>
    <w:rsid w:val="002C4C48"/>
    <w:rsid w:val="002C6242"/>
    <w:rsid w:val="002E6AB4"/>
    <w:rsid w:val="002E6E01"/>
    <w:rsid w:val="002F0C8E"/>
    <w:rsid w:val="002F4AC4"/>
    <w:rsid w:val="00303318"/>
    <w:rsid w:val="00311362"/>
    <w:rsid w:val="00311FF1"/>
    <w:rsid w:val="00312F57"/>
    <w:rsid w:val="003245AA"/>
    <w:rsid w:val="00345D22"/>
    <w:rsid w:val="003471AC"/>
    <w:rsid w:val="00357284"/>
    <w:rsid w:val="00365874"/>
    <w:rsid w:val="00371AEB"/>
    <w:rsid w:val="00373608"/>
    <w:rsid w:val="003769A3"/>
    <w:rsid w:val="0038181D"/>
    <w:rsid w:val="00386C6D"/>
    <w:rsid w:val="00393B81"/>
    <w:rsid w:val="003954C5"/>
    <w:rsid w:val="003A0036"/>
    <w:rsid w:val="003A034C"/>
    <w:rsid w:val="003A5007"/>
    <w:rsid w:val="003A5623"/>
    <w:rsid w:val="003B2357"/>
    <w:rsid w:val="003B579F"/>
    <w:rsid w:val="003C3C0E"/>
    <w:rsid w:val="003C50D8"/>
    <w:rsid w:val="003D2C6A"/>
    <w:rsid w:val="003D4486"/>
    <w:rsid w:val="003E6020"/>
    <w:rsid w:val="003E738E"/>
    <w:rsid w:val="003F1789"/>
    <w:rsid w:val="003F5023"/>
    <w:rsid w:val="0040297F"/>
    <w:rsid w:val="00411169"/>
    <w:rsid w:val="0042096A"/>
    <w:rsid w:val="00421811"/>
    <w:rsid w:val="00426F90"/>
    <w:rsid w:val="0042716F"/>
    <w:rsid w:val="00434615"/>
    <w:rsid w:val="0043766A"/>
    <w:rsid w:val="00451DA2"/>
    <w:rsid w:val="004726A8"/>
    <w:rsid w:val="00475667"/>
    <w:rsid w:val="004760FF"/>
    <w:rsid w:val="00491DF3"/>
    <w:rsid w:val="00493F18"/>
    <w:rsid w:val="00496D28"/>
    <w:rsid w:val="004A084E"/>
    <w:rsid w:val="004A4957"/>
    <w:rsid w:val="004B20BA"/>
    <w:rsid w:val="004B4EF1"/>
    <w:rsid w:val="004C0859"/>
    <w:rsid w:val="004C4161"/>
    <w:rsid w:val="004D269F"/>
    <w:rsid w:val="004D274E"/>
    <w:rsid w:val="004F6A0F"/>
    <w:rsid w:val="00502327"/>
    <w:rsid w:val="005030D3"/>
    <w:rsid w:val="00505E92"/>
    <w:rsid w:val="0051570E"/>
    <w:rsid w:val="005160CE"/>
    <w:rsid w:val="005217C6"/>
    <w:rsid w:val="005223B5"/>
    <w:rsid w:val="005327D5"/>
    <w:rsid w:val="00536C4B"/>
    <w:rsid w:val="00547967"/>
    <w:rsid w:val="0055117A"/>
    <w:rsid w:val="00557EB4"/>
    <w:rsid w:val="00562015"/>
    <w:rsid w:val="00562174"/>
    <w:rsid w:val="00573323"/>
    <w:rsid w:val="005830DF"/>
    <w:rsid w:val="005958D9"/>
    <w:rsid w:val="005B4FCC"/>
    <w:rsid w:val="005B55BA"/>
    <w:rsid w:val="005C384D"/>
    <w:rsid w:val="005D7B74"/>
    <w:rsid w:val="0060402A"/>
    <w:rsid w:val="00605A42"/>
    <w:rsid w:val="00617FCB"/>
    <w:rsid w:val="00621DBB"/>
    <w:rsid w:val="0062433B"/>
    <w:rsid w:val="00634D4D"/>
    <w:rsid w:val="006406E4"/>
    <w:rsid w:val="00653E40"/>
    <w:rsid w:val="00661652"/>
    <w:rsid w:val="006712AF"/>
    <w:rsid w:val="00676533"/>
    <w:rsid w:val="00690FAD"/>
    <w:rsid w:val="006A2166"/>
    <w:rsid w:val="006A260E"/>
    <w:rsid w:val="006B0EBF"/>
    <w:rsid w:val="006B28C2"/>
    <w:rsid w:val="006B3757"/>
    <w:rsid w:val="006D1547"/>
    <w:rsid w:val="006D2BB5"/>
    <w:rsid w:val="006D451F"/>
    <w:rsid w:val="006D4574"/>
    <w:rsid w:val="006D49A7"/>
    <w:rsid w:val="006D74A2"/>
    <w:rsid w:val="006D7F7C"/>
    <w:rsid w:val="006E3951"/>
    <w:rsid w:val="006F2560"/>
    <w:rsid w:val="006F405A"/>
    <w:rsid w:val="006F5DA6"/>
    <w:rsid w:val="006F5ED2"/>
    <w:rsid w:val="00703A13"/>
    <w:rsid w:val="007211C0"/>
    <w:rsid w:val="00721C21"/>
    <w:rsid w:val="00725C1C"/>
    <w:rsid w:val="00754390"/>
    <w:rsid w:val="00765AF3"/>
    <w:rsid w:val="00771545"/>
    <w:rsid w:val="007724EA"/>
    <w:rsid w:val="0077687F"/>
    <w:rsid w:val="00780472"/>
    <w:rsid w:val="007830E4"/>
    <w:rsid w:val="007854D4"/>
    <w:rsid w:val="0078552C"/>
    <w:rsid w:val="00792703"/>
    <w:rsid w:val="00794586"/>
    <w:rsid w:val="007A0E35"/>
    <w:rsid w:val="007A524B"/>
    <w:rsid w:val="007A5CB2"/>
    <w:rsid w:val="007B2749"/>
    <w:rsid w:val="007C06F0"/>
    <w:rsid w:val="007C138C"/>
    <w:rsid w:val="007C34F1"/>
    <w:rsid w:val="007C4861"/>
    <w:rsid w:val="007D7519"/>
    <w:rsid w:val="007E2169"/>
    <w:rsid w:val="007E3674"/>
    <w:rsid w:val="007E610B"/>
    <w:rsid w:val="007F0FF3"/>
    <w:rsid w:val="008003AE"/>
    <w:rsid w:val="008126A3"/>
    <w:rsid w:val="00814F1C"/>
    <w:rsid w:val="008246C3"/>
    <w:rsid w:val="00840D15"/>
    <w:rsid w:val="008527C7"/>
    <w:rsid w:val="008556DE"/>
    <w:rsid w:val="008657A4"/>
    <w:rsid w:val="008665D2"/>
    <w:rsid w:val="00874B93"/>
    <w:rsid w:val="0088430D"/>
    <w:rsid w:val="00887AB5"/>
    <w:rsid w:val="0089329F"/>
    <w:rsid w:val="00897A8D"/>
    <w:rsid w:val="008A2818"/>
    <w:rsid w:val="008A65D3"/>
    <w:rsid w:val="008A7719"/>
    <w:rsid w:val="008C1D0D"/>
    <w:rsid w:val="008E17E3"/>
    <w:rsid w:val="008E620F"/>
    <w:rsid w:val="008E737F"/>
    <w:rsid w:val="008F07DB"/>
    <w:rsid w:val="009134F4"/>
    <w:rsid w:val="00917CA4"/>
    <w:rsid w:val="00923D98"/>
    <w:rsid w:val="00927E03"/>
    <w:rsid w:val="0094743D"/>
    <w:rsid w:val="00971341"/>
    <w:rsid w:val="00972790"/>
    <w:rsid w:val="009920B7"/>
    <w:rsid w:val="00992329"/>
    <w:rsid w:val="00993BD3"/>
    <w:rsid w:val="009B767E"/>
    <w:rsid w:val="009C18DB"/>
    <w:rsid w:val="009D370F"/>
    <w:rsid w:val="009D3EBF"/>
    <w:rsid w:val="009D6316"/>
    <w:rsid w:val="009D7E3C"/>
    <w:rsid w:val="009E779A"/>
    <w:rsid w:val="00A302F6"/>
    <w:rsid w:val="00A37C59"/>
    <w:rsid w:val="00A42941"/>
    <w:rsid w:val="00A44CB0"/>
    <w:rsid w:val="00A47C04"/>
    <w:rsid w:val="00A52FEE"/>
    <w:rsid w:val="00A53EF9"/>
    <w:rsid w:val="00A612AE"/>
    <w:rsid w:val="00A746BC"/>
    <w:rsid w:val="00A75940"/>
    <w:rsid w:val="00A77326"/>
    <w:rsid w:val="00A87507"/>
    <w:rsid w:val="00A91711"/>
    <w:rsid w:val="00A95B71"/>
    <w:rsid w:val="00A97A88"/>
    <w:rsid w:val="00AA194F"/>
    <w:rsid w:val="00AB164C"/>
    <w:rsid w:val="00AB20D0"/>
    <w:rsid w:val="00AD632A"/>
    <w:rsid w:val="00AE08DB"/>
    <w:rsid w:val="00AE0927"/>
    <w:rsid w:val="00AE7D5B"/>
    <w:rsid w:val="00AF08D5"/>
    <w:rsid w:val="00AF3159"/>
    <w:rsid w:val="00B008A6"/>
    <w:rsid w:val="00B052E0"/>
    <w:rsid w:val="00B10DC5"/>
    <w:rsid w:val="00B16DE4"/>
    <w:rsid w:val="00B3312A"/>
    <w:rsid w:val="00B4094D"/>
    <w:rsid w:val="00B44922"/>
    <w:rsid w:val="00B526A2"/>
    <w:rsid w:val="00B54948"/>
    <w:rsid w:val="00B5566B"/>
    <w:rsid w:val="00B62A51"/>
    <w:rsid w:val="00B67C18"/>
    <w:rsid w:val="00B7003C"/>
    <w:rsid w:val="00B701B7"/>
    <w:rsid w:val="00B71216"/>
    <w:rsid w:val="00B76BCD"/>
    <w:rsid w:val="00B77425"/>
    <w:rsid w:val="00B82268"/>
    <w:rsid w:val="00B9197B"/>
    <w:rsid w:val="00B9511C"/>
    <w:rsid w:val="00BA390F"/>
    <w:rsid w:val="00BA795F"/>
    <w:rsid w:val="00BB08B9"/>
    <w:rsid w:val="00BB4B58"/>
    <w:rsid w:val="00BC0490"/>
    <w:rsid w:val="00BC0DFB"/>
    <w:rsid w:val="00BD0F4D"/>
    <w:rsid w:val="00BD3D56"/>
    <w:rsid w:val="00BE1319"/>
    <w:rsid w:val="00BE157B"/>
    <w:rsid w:val="00BE361B"/>
    <w:rsid w:val="00BE384C"/>
    <w:rsid w:val="00BE41A6"/>
    <w:rsid w:val="00BF2533"/>
    <w:rsid w:val="00BF39EA"/>
    <w:rsid w:val="00C057CA"/>
    <w:rsid w:val="00C1547D"/>
    <w:rsid w:val="00C16555"/>
    <w:rsid w:val="00C224F2"/>
    <w:rsid w:val="00C24E58"/>
    <w:rsid w:val="00C2576E"/>
    <w:rsid w:val="00C3438F"/>
    <w:rsid w:val="00C35FA1"/>
    <w:rsid w:val="00C371E8"/>
    <w:rsid w:val="00C37E51"/>
    <w:rsid w:val="00C439B1"/>
    <w:rsid w:val="00C43ECA"/>
    <w:rsid w:val="00C529DE"/>
    <w:rsid w:val="00C547CF"/>
    <w:rsid w:val="00C5715A"/>
    <w:rsid w:val="00C72D71"/>
    <w:rsid w:val="00C734FC"/>
    <w:rsid w:val="00C75443"/>
    <w:rsid w:val="00C778AB"/>
    <w:rsid w:val="00C848E3"/>
    <w:rsid w:val="00C91803"/>
    <w:rsid w:val="00C926A4"/>
    <w:rsid w:val="00CA1934"/>
    <w:rsid w:val="00CA3B9F"/>
    <w:rsid w:val="00CA58FF"/>
    <w:rsid w:val="00CB33F9"/>
    <w:rsid w:val="00CD16AB"/>
    <w:rsid w:val="00CD1F68"/>
    <w:rsid w:val="00CD4C29"/>
    <w:rsid w:val="00CF6019"/>
    <w:rsid w:val="00CF78D5"/>
    <w:rsid w:val="00D03356"/>
    <w:rsid w:val="00D11B87"/>
    <w:rsid w:val="00D1283D"/>
    <w:rsid w:val="00D12FAD"/>
    <w:rsid w:val="00D14B4D"/>
    <w:rsid w:val="00D14C98"/>
    <w:rsid w:val="00D15B62"/>
    <w:rsid w:val="00D178A4"/>
    <w:rsid w:val="00D40002"/>
    <w:rsid w:val="00D41342"/>
    <w:rsid w:val="00D446CF"/>
    <w:rsid w:val="00D523C9"/>
    <w:rsid w:val="00D5472C"/>
    <w:rsid w:val="00D54FE9"/>
    <w:rsid w:val="00D5623B"/>
    <w:rsid w:val="00D570F7"/>
    <w:rsid w:val="00D70B5A"/>
    <w:rsid w:val="00D7273A"/>
    <w:rsid w:val="00D76D18"/>
    <w:rsid w:val="00D77D32"/>
    <w:rsid w:val="00D87483"/>
    <w:rsid w:val="00D90B6E"/>
    <w:rsid w:val="00DA05AC"/>
    <w:rsid w:val="00DB3FB7"/>
    <w:rsid w:val="00DD47BF"/>
    <w:rsid w:val="00DD4AC2"/>
    <w:rsid w:val="00DE40CA"/>
    <w:rsid w:val="00DF1175"/>
    <w:rsid w:val="00E015C6"/>
    <w:rsid w:val="00E06B1F"/>
    <w:rsid w:val="00E10314"/>
    <w:rsid w:val="00E11D5B"/>
    <w:rsid w:val="00E26D50"/>
    <w:rsid w:val="00E278E6"/>
    <w:rsid w:val="00E30235"/>
    <w:rsid w:val="00E364C9"/>
    <w:rsid w:val="00E563C3"/>
    <w:rsid w:val="00E72766"/>
    <w:rsid w:val="00E80FC7"/>
    <w:rsid w:val="00E85E28"/>
    <w:rsid w:val="00E870E6"/>
    <w:rsid w:val="00E8753C"/>
    <w:rsid w:val="00EA0145"/>
    <w:rsid w:val="00EB4C67"/>
    <w:rsid w:val="00EB7856"/>
    <w:rsid w:val="00ED620C"/>
    <w:rsid w:val="00EE7170"/>
    <w:rsid w:val="00EF1900"/>
    <w:rsid w:val="00F01DB5"/>
    <w:rsid w:val="00F06A07"/>
    <w:rsid w:val="00F120DB"/>
    <w:rsid w:val="00F25EBB"/>
    <w:rsid w:val="00F44D2D"/>
    <w:rsid w:val="00F53858"/>
    <w:rsid w:val="00F5733D"/>
    <w:rsid w:val="00F601A7"/>
    <w:rsid w:val="00F77A27"/>
    <w:rsid w:val="00F97EA0"/>
    <w:rsid w:val="00FA371F"/>
    <w:rsid w:val="00FC71A9"/>
    <w:rsid w:val="00FD1F0F"/>
    <w:rsid w:val="00FD509A"/>
    <w:rsid w:val="00FD5B38"/>
    <w:rsid w:val="00FE7528"/>
    <w:rsid w:val="00FF0382"/>
    <w:rsid w:val="00FF5FF7"/>
    <w:rsid w:val="02997C3F"/>
    <w:rsid w:val="03551B2C"/>
    <w:rsid w:val="04112F65"/>
    <w:rsid w:val="0468080A"/>
    <w:rsid w:val="04F60E6E"/>
    <w:rsid w:val="04FC6C81"/>
    <w:rsid w:val="052770A2"/>
    <w:rsid w:val="05293D18"/>
    <w:rsid w:val="056535D0"/>
    <w:rsid w:val="06290F05"/>
    <w:rsid w:val="07747DD4"/>
    <w:rsid w:val="078F02DA"/>
    <w:rsid w:val="07AD007D"/>
    <w:rsid w:val="07D00503"/>
    <w:rsid w:val="085D05A0"/>
    <w:rsid w:val="0878647D"/>
    <w:rsid w:val="08E030A7"/>
    <w:rsid w:val="090B0D37"/>
    <w:rsid w:val="09BC4A90"/>
    <w:rsid w:val="09FC40F3"/>
    <w:rsid w:val="0A1B7554"/>
    <w:rsid w:val="0A357B18"/>
    <w:rsid w:val="0A55161A"/>
    <w:rsid w:val="0A9D041D"/>
    <w:rsid w:val="0AB370B0"/>
    <w:rsid w:val="0B4758E7"/>
    <w:rsid w:val="0B80294B"/>
    <w:rsid w:val="0C3C0FC4"/>
    <w:rsid w:val="0C6A72D5"/>
    <w:rsid w:val="0C8D16BA"/>
    <w:rsid w:val="0CAA5E52"/>
    <w:rsid w:val="0CFB35D7"/>
    <w:rsid w:val="0D5E6822"/>
    <w:rsid w:val="0D64145F"/>
    <w:rsid w:val="0D760CFE"/>
    <w:rsid w:val="0E0D58BA"/>
    <w:rsid w:val="0E423410"/>
    <w:rsid w:val="0EBF198B"/>
    <w:rsid w:val="0F4F60B3"/>
    <w:rsid w:val="0F661C2C"/>
    <w:rsid w:val="0FA3397F"/>
    <w:rsid w:val="0FC13C35"/>
    <w:rsid w:val="10CE4A51"/>
    <w:rsid w:val="1299589E"/>
    <w:rsid w:val="12D444EA"/>
    <w:rsid w:val="13C63E8D"/>
    <w:rsid w:val="14394F62"/>
    <w:rsid w:val="16577543"/>
    <w:rsid w:val="16847857"/>
    <w:rsid w:val="169546E8"/>
    <w:rsid w:val="16FC2450"/>
    <w:rsid w:val="17150D46"/>
    <w:rsid w:val="17313640"/>
    <w:rsid w:val="18BE4FFB"/>
    <w:rsid w:val="19FE73AC"/>
    <w:rsid w:val="1AB52879"/>
    <w:rsid w:val="1ACB2110"/>
    <w:rsid w:val="1C5A4781"/>
    <w:rsid w:val="1C6B037B"/>
    <w:rsid w:val="1C7954E4"/>
    <w:rsid w:val="1CA428AF"/>
    <w:rsid w:val="1DDA6590"/>
    <w:rsid w:val="1DFF1CA3"/>
    <w:rsid w:val="1E036392"/>
    <w:rsid w:val="1E301F4B"/>
    <w:rsid w:val="1EB67072"/>
    <w:rsid w:val="1F243BC5"/>
    <w:rsid w:val="1F9C5110"/>
    <w:rsid w:val="1FBB2C04"/>
    <w:rsid w:val="1FE65F10"/>
    <w:rsid w:val="200F13EB"/>
    <w:rsid w:val="20AF40D0"/>
    <w:rsid w:val="20C70699"/>
    <w:rsid w:val="21466CC1"/>
    <w:rsid w:val="21537192"/>
    <w:rsid w:val="21BC0EC6"/>
    <w:rsid w:val="21F636F1"/>
    <w:rsid w:val="22350AE4"/>
    <w:rsid w:val="22543660"/>
    <w:rsid w:val="229D55B9"/>
    <w:rsid w:val="22E45940"/>
    <w:rsid w:val="23AB5887"/>
    <w:rsid w:val="24B67988"/>
    <w:rsid w:val="259C03F9"/>
    <w:rsid w:val="25AC76D9"/>
    <w:rsid w:val="266C1428"/>
    <w:rsid w:val="26D95479"/>
    <w:rsid w:val="26E641FB"/>
    <w:rsid w:val="27651C34"/>
    <w:rsid w:val="27760E3F"/>
    <w:rsid w:val="28DB56D1"/>
    <w:rsid w:val="29490F27"/>
    <w:rsid w:val="29653787"/>
    <w:rsid w:val="29D84B76"/>
    <w:rsid w:val="2B2075C6"/>
    <w:rsid w:val="2B38123C"/>
    <w:rsid w:val="2B4B134D"/>
    <w:rsid w:val="2B60504C"/>
    <w:rsid w:val="2B730E83"/>
    <w:rsid w:val="2BB2742B"/>
    <w:rsid w:val="2BF67A1A"/>
    <w:rsid w:val="2CD635BC"/>
    <w:rsid w:val="2D242643"/>
    <w:rsid w:val="2D3A00D3"/>
    <w:rsid w:val="2D6A78B0"/>
    <w:rsid w:val="2DB73ED1"/>
    <w:rsid w:val="2ECE231E"/>
    <w:rsid w:val="2EF91817"/>
    <w:rsid w:val="2F1E0566"/>
    <w:rsid w:val="2F434701"/>
    <w:rsid w:val="302F0A49"/>
    <w:rsid w:val="306110D2"/>
    <w:rsid w:val="30B3165E"/>
    <w:rsid w:val="30E72BE0"/>
    <w:rsid w:val="31051355"/>
    <w:rsid w:val="310F3856"/>
    <w:rsid w:val="311346E6"/>
    <w:rsid w:val="31574250"/>
    <w:rsid w:val="32654E55"/>
    <w:rsid w:val="32B27174"/>
    <w:rsid w:val="331E3AD0"/>
    <w:rsid w:val="3344077F"/>
    <w:rsid w:val="337A09FF"/>
    <w:rsid w:val="33F4471A"/>
    <w:rsid w:val="34771612"/>
    <w:rsid w:val="34945A8E"/>
    <w:rsid w:val="3506275C"/>
    <w:rsid w:val="355A1B9B"/>
    <w:rsid w:val="35741E7D"/>
    <w:rsid w:val="35B94061"/>
    <w:rsid w:val="360A608E"/>
    <w:rsid w:val="36610124"/>
    <w:rsid w:val="371E6D39"/>
    <w:rsid w:val="38040803"/>
    <w:rsid w:val="39113C01"/>
    <w:rsid w:val="392E45F8"/>
    <w:rsid w:val="39AF1CEE"/>
    <w:rsid w:val="39E67BD1"/>
    <w:rsid w:val="3A1935D2"/>
    <w:rsid w:val="3A3B3967"/>
    <w:rsid w:val="3A3C2447"/>
    <w:rsid w:val="3A485F48"/>
    <w:rsid w:val="3A675015"/>
    <w:rsid w:val="3B173655"/>
    <w:rsid w:val="3BDF4475"/>
    <w:rsid w:val="3C3245BF"/>
    <w:rsid w:val="3C3C1CB0"/>
    <w:rsid w:val="3C6B651F"/>
    <w:rsid w:val="3CB11011"/>
    <w:rsid w:val="3CDA36BD"/>
    <w:rsid w:val="3CE35201"/>
    <w:rsid w:val="3DB9284E"/>
    <w:rsid w:val="3E2E3569"/>
    <w:rsid w:val="3E4B03DB"/>
    <w:rsid w:val="3EC8622A"/>
    <w:rsid w:val="3FA770CC"/>
    <w:rsid w:val="3FAC0087"/>
    <w:rsid w:val="3FB73CC3"/>
    <w:rsid w:val="405A7C3B"/>
    <w:rsid w:val="406C44FF"/>
    <w:rsid w:val="41093418"/>
    <w:rsid w:val="414E10E6"/>
    <w:rsid w:val="417C3E58"/>
    <w:rsid w:val="418D2A93"/>
    <w:rsid w:val="42326197"/>
    <w:rsid w:val="42EF5355"/>
    <w:rsid w:val="44B46340"/>
    <w:rsid w:val="44B86E4E"/>
    <w:rsid w:val="44F92DFD"/>
    <w:rsid w:val="4552057C"/>
    <w:rsid w:val="45A847A1"/>
    <w:rsid w:val="45DE3218"/>
    <w:rsid w:val="4654211F"/>
    <w:rsid w:val="46AE5951"/>
    <w:rsid w:val="46C82CA0"/>
    <w:rsid w:val="47DA2BAA"/>
    <w:rsid w:val="48AC43BE"/>
    <w:rsid w:val="48DE483E"/>
    <w:rsid w:val="491B03A1"/>
    <w:rsid w:val="492E3AF2"/>
    <w:rsid w:val="49426439"/>
    <w:rsid w:val="49997B9B"/>
    <w:rsid w:val="4A034860"/>
    <w:rsid w:val="4A995654"/>
    <w:rsid w:val="4B273A05"/>
    <w:rsid w:val="4B3019CE"/>
    <w:rsid w:val="4B6432BD"/>
    <w:rsid w:val="4BB672A9"/>
    <w:rsid w:val="4BE01C51"/>
    <w:rsid w:val="4C0E75DE"/>
    <w:rsid w:val="4C217B22"/>
    <w:rsid w:val="4CA97B91"/>
    <w:rsid w:val="4CCE76C9"/>
    <w:rsid w:val="4D9B3502"/>
    <w:rsid w:val="4EAE5CE0"/>
    <w:rsid w:val="4F575F9B"/>
    <w:rsid w:val="4F5F3251"/>
    <w:rsid w:val="4F65351C"/>
    <w:rsid w:val="504A46EB"/>
    <w:rsid w:val="50FC5FA6"/>
    <w:rsid w:val="514A2BE0"/>
    <w:rsid w:val="5187601C"/>
    <w:rsid w:val="51A32074"/>
    <w:rsid w:val="52BF7E8E"/>
    <w:rsid w:val="52CA3FCB"/>
    <w:rsid w:val="54B0031A"/>
    <w:rsid w:val="54CE5427"/>
    <w:rsid w:val="54F74C0A"/>
    <w:rsid w:val="55322ADD"/>
    <w:rsid w:val="55A13C64"/>
    <w:rsid w:val="56473713"/>
    <w:rsid w:val="568835A5"/>
    <w:rsid w:val="57AD5681"/>
    <w:rsid w:val="581B5111"/>
    <w:rsid w:val="58533794"/>
    <w:rsid w:val="58A3441E"/>
    <w:rsid w:val="592674B1"/>
    <w:rsid w:val="59467D9F"/>
    <w:rsid w:val="59583222"/>
    <w:rsid w:val="59A072E4"/>
    <w:rsid w:val="59FF7315"/>
    <w:rsid w:val="5A175510"/>
    <w:rsid w:val="5ACA50DD"/>
    <w:rsid w:val="5ACC0C28"/>
    <w:rsid w:val="5B0867BA"/>
    <w:rsid w:val="5B9A7060"/>
    <w:rsid w:val="5BE17D38"/>
    <w:rsid w:val="5C184BDD"/>
    <w:rsid w:val="5C1B7C8B"/>
    <w:rsid w:val="5CF4080B"/>
    <w:rsid w:val="5D171D6B"/>
    <w:rsid w:val="5D3A49F0"/>
    <w:rsid w:val="5E8E2734"/>
    <w:rsid w:val="5E905AF5"/>
    <w:rsid w:val="5EC73B53"/>
    <w:rsid w:val="5EDC16B8"/>
    <w:rsid w:val="5F652942"/>
    <w:rsid w:val="5F9A3E1F"/>
    <w:rsid w:val="600A2AB1"/>
    <w:rsid w:val="60757D0F"/>
    <w:rsid w:val="61374DB3"/>
    <w:rsid w:val="628C1BC9"/>
    <w:rsid w:val="62D00E2B"/>
    <w:rsid w:val="62E1045E"/>
    <w:rsid w:val="6320035F"/>
    <w:rsid w:val="63AB76CB"/>
    <w:rsid w:val="63F76130"/>
    <w:rsid w:val="64226597"/>
    <w:rsid w:val="642F712F"/>
    <w:rsid w:val="64744889"/>
    <w:rsid w:val="64C32341"/>
    <w:rsid w:val="64DE36BE"/>
    <w:rsid w:val="65012193"/>
    <w:rsid w:val="652C520C"/>
    <w:rsid w:val="654E3963"/>
    <w:rsid w:val="655F03D7"/>
    <w:rsid w:val="65790C57"/>
    <w:rsid w:val="65AB5050"/>
    <w:rsid w:val="66614482"/>
    <w:rsid w:val="66EB784E"/>
    <w:rsid w:val="6766582D"/>
    <w:rsid w:val="67D46EF3"/>
    <w:rsid w:val="69AD3B72"/>
    <w:rsid w:val="69F44BD8"/>
    <w:rsid w:val="6A09493E"/>
    <w:rsid w:val="6A2C3B47"/>
    <w:rsid w:val="6A355386"/>
    <w:rsid w:val="6A7659EF"/>
    <w:rsid w:val="6AED673C"/>
    <w:rsid w:val="6BC8442A"/>
    <w:rsid w:val="6C767A56"/>
    <w:rsid w:val="6C9D673E"/>
    <w:rsid w:val="6D1700DB"/>
    <w:rsid w:val="6D723F67"/>
    <w:rsid w:val="6D9B41E1"/>
    <w:rsid w:val="6DC30EDC"/>
    <w:rsid w:val="6E3E6DAA"/>
    <w:rsid w:val="6EE53151"/>
    <w:rsid w:val="6FAF4BDB"/>
    <w:rsid w:val="71297805"/>
    <w:rsid w:val="712D6E14"/>
    <w:rsid w:val="7156291F"/>
    <w:rsid w:val="72A66B8C"/>
    <w:rsid w:val="730C6FBC"/>
    <w:rsid w:val="733E7B69"/>
    <w:rsid w:val="74E927C3"/>
    <w:rsid w:val="74FC0904"/>
    <w:rsid w:val="750426D4"/>
    <w:rsid w:val="76526228"/>
    <w:rsid w:val="76D775AE"/>
    <w:rsid w:val="77203425"/>
    <w:rsid w:val="776B7EDA"/>
    <w:rsid w:val="77B80F68"/>
    <w:rsid w:val="78A74EEA"/>
    <w:rsid w:val="78E47CF9"/>
    <w:rsid w:val="792D2263"/>
    <w:rsid w:val="79A76B9C"/>
    <w:rsid w:val="79B30169"/>
    <w:rsid w:val="79E92D80"/>
    <w:rsid w:val="7A002FF6"/>
    <w:rsid w:val="7A97718B"/>
    <w:rsid w:val="7AFC126E"/>
    <w:rsid w:val="7B2E1604"/>
    <w:rsid w:val="7B5971BC"/>
    <w:rsid w:val="7B8B07EF"/>
    <w:rsid w:val="7BB9314D"/>
    <w:rsid w:val="7BE0588E"/>
    <w:rsid w:val="7C450384"/>
    <w:rsid w:val="7C500288"/>
    <w:rsid w:val="7D8D2EDE"/>
    <w:rsid w:val="7D9615AC"/>
    <w:rsid w:val="7DC973D5"/>
    <w:rsid w:val="7DCE44F1"/>
    <w:rsid w:val="7E9A7EBF"/>
    <w:rsid w:val="7EB9296F"/>
    <w:rsid w:val="7EBD028B"/>
    <w:rsid w:val="7EFE6F09"/>
    <w:rsid w:val="7F877727"/>
    <w:rsid w:val="7FC32557"/>
    <w:rsid w:val="FCD68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basedOn w:val="1"/>
    <w:next w:val="1"/>
    <w:link w:val="31"/>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3">
    <w:name w:val="heading 2"/>
    <w:basedOn w:val="1"/>
    <w:next w:val="1"/>
    <w:link w:val="32"/>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4">
    <w:name w:val="heading 3"/>
    <w:basedOn w:val="1"/>
    <w:next w:val="1"/>
    <w:link w:val="35"/>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5">
    <w:name w:val="heading 4"/>
    <w:next w:val="6"/>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6"/>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6"/>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6"/>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6"/>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25">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annotation text"/>
    <w:basedOn w:val="1"/>
    <w:link w:val="36"/>
    <w:qFormat/>
    <w:uiPriority w:val="0"/>
    <w:pPr>
      <w:jc w:val="left"/>
    </w:pPr>
  </w:style>
  <w:style w:type="paragraph" w:styleId="13">
    <w:name w:val="Body Text Indent"/>
    <w:basedOn w:val="1"/>
    <w:qFormat/>
    <w:uiPriority w:val="0"/>
    <w:pPr>
      <w:ind w:firstLine="560" w:firstLineChars="200"/>
    </w:pPr>
    <w:rPr>
      <w:sz w:val="28"/>
    </w:rPr>
  </w:style>
  <w:style w:type="paragraph" w:styleId="14">
    <w:name w:val="footer"/>
    <w:basedOn w:val="1"/>
    <w:link w:val="34"/>
    <w:qFormat/>
    <w:uiPriority w:val="0"/>
    <w:pPr>
      <w:tabs>
        <w:tab w:val="center" w:pos="4153"/>
        <w:tab w:val="right" w:pos="8306"/>
      </w:tabs>
      <w:snapToGrid w:val="0"/>
      <w:jc w:val="left"/>
    </w:pPr>
    <w:rPr>
      <w:sz w:val="18"/>
    </w:rPr>
  </w:style>
  <w:style w:type="paragraph" w:styleId="15">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Subtitle"/>
    <w:basedOn w:val="1"/>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Title"/>
    <w:basedOn w:val="1"/>
    <w:next w:val="6"/>
    <w:qFormat/>
    <w:uiPriority w:val="10"/>
    <w:pPr>
      <w:spacing w:line="240" w:lineRule="auto"/>
      <w:ind w:firstLine="0" w:firstLineChars="0"/>
      <w:jc w:val="center"/>
      <w:outlineLvl w:val="9"/>
    </w:pPr>
    <w:rPr>
      <w:rFonts w:asciiTheme="majorEastAsia" w:hAnsiTheme="majorEastAsia"/>
      <w:b/>
      <w:sz w:val="52"/>
      <w:szCs w:val="44"/>
    </w:rPr>
  </w:style>
  <w:style w:type="paragraph" w:styleId="21">
    <w:name w:val="annotation subject"/>
    <w:basedOn w:val="12"/>
    <w:next w:val="12"/>
    <w:link w:val="37"/>
    <w:qFormat/>
    <w:uiPriority w:val="0"/>
    <w:rPr>
      <w:b/>
    </w:rPr>
  </w:style>
  <w:style w:type="paragraph" w:styleId="22">
    <w:name w:val="Body Text First Indent"/>
    <w:basedOn w:val="6"/>
    <w:qFormat/>
    <w:uiPriority w:val="0"/>
    <w:pPr>
      <w:ind w:firstLine="420" w:firstLineChars="1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rFonts w:ascii="Arial" w:hAnsi="Arial" w:eastAsia="黑体"/>
      <w:b/>
      <w:color w:val="4472C4" w:themeColor="accent1"/>
      <w:u w:val="single"/>
      <w14:textFill>
        <w14:solidFill>
          <w14:schemeClr w14:val="accent1"/>
        </w14:solidFill>
      </w14:textFill>
    </w:rPr>
  </w:style>
  <w:style w:type="character" w:styleId="27">
    <w:name w:val="page number"/>
    <w:basedOn w:val="25"/>
    <w:qFormat/>
    <w:uiPriority w:val="0"/>
  </w:style>
  <w:style w:type="character" w:styleId="28">
    <w:name w:val="Emphasis"/>
    <w:basedOn w:val="25"/>
    <w:qFormat/>
    <w:uiPriority w:val="20"/>
    <w:rPr>
      <w:rFonts w:ascii="Arial" w:hAnsi="Arial" w:eastAsia="黑体"/>
      <w:b/>
      <w:bCs/>
      <w:i/>
      <w:color w:val="C00000"/>
      <w:sz w:val="24"/>
      <w:szCs w:val="22"/>
    </w:rPr>
  </w:style>
  <w:style w:type="character" w:styleId="29">
    <w:name w:val="annotation reference"/>
    <w:basedOn w:val="25"/>
    <w:qFormat/>
    <w:uiPriority w:val="0"/>
    <w:rPr>
      <w:sz w:val="21"/>
    </w:rPr>
  </w:style>
  <w:style w:type="paragraph" w:customStyle="1" w:styleId="30">
    <w:name w:val="列出段落1"/>
    <w:basedOn w:val="1"/>
    <w:qFormat/>
    <w:uiPriority w:val="0"/>
    <w:pPr>
      <w:ind w:firstLine="420" w:firstLineChars="200"/>
    </w:pPr>
    <w:rPr>
      <w:rFonts w:ascii="Calibri" w:hAnsi="Calibri" w:eastAsia="宋体" w:cs="Times New Roman"/>
      <w:szCs w:val="21"/>
    </w:rPr>
  </w:style>
  <w:style w:type="character" w:customStyle="1" w:styleId="31">
    <w:name w:val="标题 1 字符"/>
    <w:link w:val="2"/>
    <w:qFormat/>
    <w:uiPriority w:val="9"/>
    <w:rPr>
      <w:rFonts w:eastAsia="黑体" w:asciiTheme="majorEastAsia" w:hAnsiTheme="majorEastAsia" w:cstheme="minorBidi"/>
      <w:b/>
      <w:bCs/>
      <w:kern w:val="44"/>
      <w:sz w:val="40"/>
      <w:szCs w:val="18"/>
      <w:lang w:val="en-US" w:eastAsia="zh-CN" w:bidi="ar-SA"/>
    </w:rPr>
  </w:style>
  <w:style w:type="character" w:customStyle="1" w:styleId="32">
    <w:name w:val="标题 2 字符"/>
    <w:link w:val="3"/>
    <w:qFormat/>
    <w:uiPriority w:val="9"/>
    <w:rPr>
      <w:rFonts w:ascii="Arial" w:hAnsi="Arial" w:eastAsia="黑体" w:cstheme="minorBidi"/>
      <w:b/>
      <w:kern w:val="2"/>
      <w:sz w:val="32"/>
      <w:lang w:val="en-US" w:eastAsia="zh-CN" w:bidi="ar-SA"/>
    </w:rPr>
  </w:style>
  <w:style w:type="character" w:customStyle="1" w:styleId="33">
    <w:name w:val="页眉 字符"/>
    <w:link w:val="15"/>
    <w:qFormat/>
    <w:uiPriority w:val="99"/>
    <w:rPr>
      <w:sz w:val="18"/>
    </w:rPr>
  </w:style>
  <w:style w:type="character" w:customStyle="1" w:styleId="34">
    <w:name w:val="页脚 字符"/>
    <w:link w:val="14"/>
    <w:qFormat/>
    <w:uiPriority w:val="99"/>
    <w:rPr>
      <w:sz w:val="18"/>
    </w:rPr>
  </w:style>
  <w:style w:type="character" w:customStyle="1" w:styleId="35">
    <w:name w:val="标题 3 字符"/>
    <w:link w:val="4"/>
    <w:qFormat/>
    <w:uiPriority w:val="9"/>
    <w:rPr>
      <w:rFonts w:ascii="Arial" w:hAnsi="Arial" w:eastAsia="黑体" w:cstheme="minorBidi"/>
      <w:b/>
      <w:kern w:val="2"/>
      <w:sz w:val="30"/>
      <w:szCs w:val="30"/>
      <w:lang w:val="en-US" w:eastAsia="zh-CN" w:bidi="ar-SA"/>
    </w:rPr>
  </w:style>
  <w:style w:type="character" w:customStyle="1" w:styleId="36">
    <w:name w:val="批注文字 字符"/>
    <w:link w:val="12"/>
    <w:semiHidden/>
    <w:qFormat/>
    <w:uiPriority w:val="99"/>
  </w:style>
  <w:style w:type="character" w:customStyle="1" w:styleId="37">
    <w:name w:val="批注主题 字符"/>
    <w:link w:val="21"/>
    <w:semiHidden/>
    <w:qFormat/>
    <w:uiPriority w:val="99"/>
    <w:rPr>
      <w:b/>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List Paragraph"/>
    <w:basedOn w:val="1"/>
    <w:qFormat/>
    <w:uiPriority w:val="0"/>
    <w:pPr>
      <w:ind w:firstLine="420" w:firstLineChars="200"/>
    </w:pPr>
  </w:style>
  <w:style w:type="character" w:customStyle="1" w:styleId="41">
    <w:name w:val="font51"/>
    <w:basedOn w:val="25"/>
    <w:qFormat/>
    <w:uiPriority w:val="0"/>
    <w:rPr>
      <w:rFonts w:ascii="宋体" w:hAnsi="宋体" w:eastAsia="宋体" w:cs="宋体"/>
      <w:color w:val="000000"/>
      <w:sz w:val="22"/>
      <w:szCs w:val="22"/>
      <w:u w:val="none"/>
    </w:rPr>
  </w:style>
  <w:style w:type="character" w:customStyle="1" w:styleId="42">
    <w:name w:val="font31"/>
    <w:basedOn w:val="25"/>
    <w:qFormat/>
    <w:uiPriority w:val="0"/>
    <w:rPr>
      <w:rFonts w:hint="eastAsia" w:ascii="宋体" w:hAnsi="宋体" w:eastAsia="宋体" w:cs="宋体"/>
      <w:color w:val="000000"/>
      <w:sz w:val="22"/>
      <w:szCs w:val="22"/>
      <w:u w:val="none"/>
    </w:rPr>
  </w:style>
  <w:style w:type="character" w:customStyle="1" w:styleId="43">
    <w:name w:val="font101"/>
    <w:basedOn w:val="25"/>
    <w:qFormat/>
    <w:uiPriority w:val="0"/>
    <w:rPr>
      <w:rFonts w:hint="eastAsia" w:ascii="宋体" w:hAnsi="宋体" w:eastAsia="宋体" w:cs="宋体"/>
      <w:color w:val="000000"/>
      <w:sz w:val="24"/>
      <w:szCs w:val="24"/>
      <w:u w:val="none"/>
      <w:vertAlign w:val="superscript"/>
    </w:rPr>
  </w:style>
  <w:style w:type="character" w:customStyle="1" w:styleId="44">
    <w:name w:val="font11"/>
    <w:basedOn w:val="25"/>
    <w:qFormat/>
    <w:uiPriority w:val="0"/>
    <w:rPr>
      <w:rFonts w:hint="eastAsia" w:ascii="宋体" w:hAnsi="宋体" w:eastAsia="宋体" w:cs="宋体"/>
      <w:color w:val="000000"/>
      <w:sz w:val="22"/>
      <w:szCs w:val="22"/>
      <w:u w:val="none"/>
    </w:rPr>
  </w:style>
  <w:style w:type="character" w:customStyle="1" w:styleId="45">
    <w:name w:val="font41"/>
    <w:basedOn w:val="25"/>
    <w:qFormat/>
    <w:uiPriority w:val="0"/>
    <w:rPr>
      <w:rFonts w:hint="eastAsia" w:ascii="宋体" w:hAnsi="宋体" w:eastAsia="宋体" w:cs="宋体"/>
      <w:color w:val="000000"/>
      <w:sz w:val="22"/>
      <w:szCs w:val="22"/>
      <w:u w:val="none"/>
      <w:vertAlign w:val="superscript"/>
    </w:rPr>
  </w:style>
  <w:style w:type="character" w:customStyle="1" w:styleId="46">
    <w:name w:val="font21"/>
    <w:basedOn w:val="25"/>
    <w:qFormat/>
    <w:uiPriority w:val="0"/>
    <w:rPr>
      <w:rFonts w:hint="eastAsia" w:ascii="宋体" w:hAnsi="宋体" w:eastAsia="宋体" w:cs="宋体"/>
      <w:color w:val="000000"/>
      <w:sz w:val="22"/>
      <w:szCs w:val="22"/>
      <w:u w:val="none"/>
    </w:rPr>
  </w:style>
  <w:style w:type="character" w:customStyle="1" w:styleId="47">
    <w:name w:val="font111"/>
    <w:basedOn w:val="2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7988</Words>
  <Characters>8678</Characters>
  <Lines>119</Lines>
  <Paragraphs>33</Paragraphs>
  <TotalTime>4</TotalTime>
  <ScaleCrop>false</ScaleCrop>
  <LinksUpToDate>false</LinksUpToDate>
  <CharactersWithSpaces>8764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2021-08-04T23:26:00Z</dcterms:created>
  <dc:creator>jiang man</dc:creator>
  <cp:lastModifiedBy>guest</cp:lastModifiedBy>
  <cp:lastPrinted>2024-08-08T23:30:00Z</cp:lastPrinted>
  <dcterms:modified xsi:type="dcterms:W3CDTF">2025-12-09T14:53:46Z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E11C004FB1E644EAB7A863C2E2ADF4A8</vt:lpwstr>
  </property>
  <property fmtid="{D5CDD505-2E9C-101B-9397-08002B2CF9AE}" pid="4" name="KSOTemplateDocerSaveRecord">
    <vt:lpwstr>eyJoZGlkIjoiMmFiMjcxNzVkZmE5ZjM0ZGQ2MWI0N2MzOGUyOTM1MGQiLCJ1c2VySWQiOiIzNDYwNDE0NzEifQ==</vt:lpwstr>
  </property>
</Properties>
</file>