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GBK" w:hAnsi="宋体" w:eastAsia="方正小标宋GBK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GBK" w:hAnsi="宋体" w:eastAsia="方正小标宋GBK" w:cs="宋体"/>
          <w:b/>
          <w:bCs/>
          <w:color w:val="auto"/>
          <w:sz w:val="36"/>
          <w:szCs w:val="36"/>
          <w:lang w:val="en-US" w:eastAsia="zh-CN"/>
        </w:rPr>
        <w:t>2024年中央和省级高标准农田建设资金</w:t>
      </w:r>
    </w:p>
    <w:p>
      <w:pPr>
        <w:jc w:val="center"/>
        <w:rPr>
          <w:rFonts w:hint="eastAsia" w:ascii="方正小标宋GBK" w:hAnsi="宋体" w:eastAsia="方正小标宋GBK" w:cs="宋体"/>
          <w:b/>
          <w:color w:val="auto"/>
          <w:sz w:val="52"/>
          <w:szCs w:val="52"/>
        </w:rPr>
      </w:pPr>
      <w:r>
        <w:rPr>
          <w:rFonts w:hint="eastAsia" w:ascii="方正小标宋GBK" w:hAnsi="宋体" w:eastAsia="方正小标宋GBK" w:cs="宋体"/>
          <w:b/>
          <w:bCs/>
          <w:color w:val="auto"/>
          <w:sz w:val="36"/>
          <w:szCs w:val="36"/>
          <w:lang w:val="en-US" w:eastAsia="zh-CN"/>
        </w:rPr>
        <w:t>绩效评价报告</w:t>
      </w:r>
    </w:p>
    <w:p>
      <w:pPr>
        <w:bidi w:val="0"/>
        <w:rPr>
          <w:rFonts w:hint="eastAsia"/>
          <w:lang w:eastAsia="zh-CN"/>
        </w:rPr>
      </w:pPr>
      <w:bookmarkStart w:id="0" w:name="_Toc16086"/>
    </w:p>
    <w:bookmarkEnd w:id="0"/>
    <w:p>
      <w:pPr>
        <w:pStyle w:val="3"/>
        <w:bidi w:val="0"/>
        <w:rPr>
          <w:rFonts w:hint="eastAsia"/>
          <w:color w:val="auto"/>
          <w:lang w:eastAsia="zh-CN"/>
        </w:rPr>
      </w:pPr>
      <w:bookmarkStart w:id="1" w:name="_Toc17980"/>
      <w:bookmarkStart w:id="2" w:name="_Toc28488_WPSOffice_Level2"/>
      <w:bookmarkStart w:id="3" w:name="_Toc6370"/>
      <w:bookmarkStart w:id="4" w:name="_Toc28520"/>
      <w:bookmarkStart w:id="15" w:name="_GoBack"/>
      <w:bookmarkEnd w:id="15"/>
      <w:r>
        <w:rPr>
          <w:rFonts w:hint="eastAsia"/>
          <w:color w:val="auto"/>
          <w:lang w:eastAsia="zh-CN"/>
        </w:rPr>
        <w:t>一、综合评分</w:t>
      </w:r>
      <w:bookmarkEnd w:id="1"/>
      <w:bookmarkEnd w:id="2"/>
      <w:bookmarkEnd w:id="3"/>
      <w:bookmarkEnd w:id="4"/>
    </w:p>
    <w:p>
      <w:pPr>
        <w:bidi w:val="0"/>
        <w:rPr>
          <w:rFonts w:hint="eastAsia"/>
        </w:rPr>
      </w:pPr>
      <w:bookmarkStart w:id="5" w:name="_Toc32219"/>
      <w:r>
        <w:rPr>
          <w:rFonts w:hint="eastAsia"/>
        </w:rPr>
        <w:t>根据项目支出绩效评价的要求，按照项目支出绩效评价指标进行分析，对指标体系进行评分，此次绩效评价的综合得分</w:t>
      </w:r>
      <w:r>
        <w:rPr>
          <w:rFonts w:hint="eastAsia"/>
          <w:lang w:val="en-US" w:eastAsia="zh-CN"/>
        </w:rPr>
        <w:t>90.50</w:t>
      </w:r>
      <w:r>
        <w:rPr>
          <w:rFonts w:hint="eastAsia"/>
        </w:rPr>
        <w:t>分，评价等级为</w:t>
      </w:r>
      <w:r>
        <w:rPr>
          <w:rFonts w:hint="eastAsia"/>
          <w:lang w:val="en-US" w:eastAsia="zh-CN"/>
        </w:rPr>
        <w:t>优</w:t>
      </w:r>
      <w:r>
        <w:rPr>
          <w:rFonts w:hint="eastAsia"/>
        </w:rPr>
        <w:t>。</w:t>
      </w: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667"/>
        <w:gridCol w:w="2487"/>
        <w:gridCol w:w="2188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标准分数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决策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过程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产出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27.50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30.00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90.50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rPr>
          <w:rFonts w:hint="eastAsia"/>
          <w:b w:val="0"/>
          <w:bCs w:val="0"/>
          <w:color w:val="auto"/>
          <w:lang w:eastAsia="zh-CN"/>
        </w:rPr>
      </w:pPr>
      <w:bookmarkStart w:id="6" w:name="_Toc11136"/>
      <w:r>
        <w:rPr>
          <w:rFonts w:hint="eastAsia"/>
          <w:b w:val="0"/>
          <w:bCs w:val="0"/>
          <w:color w:val="auto"/>
          <w:lang w:eastAsia="zh-CN"/>
        </w:rPr>
        <w:t>项目绩效完成情况分析</w:t>
      </w:r>
      <w:bookmarkEnd w:id="5"/>
      <w:bookmarkEnd w:id="6"/>
    </w:p>
    <w:p>
      <w:pPr>
        <w:bidi w:val="0"/>
        <w:rPr>
          <w:rFonts w:hint="eastAsia"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1.项目决策方面。</w:t>
      </w:r>
      <w:r>
        <w:rPr>
          <w:rFonts w:hint="eastAsia"/>
          <w:color w:val="auto"/>
          <w:lang w:val="en-US" w:eastAsia="zh-CN"/>
        </w:rPr>
        <w:t>项目制定了</w:t>
      </w:r>
      <w:r>
        <w:rPr>
          <w:rFonts w:hint="default"/>
          <w:color w:val="auto"/>
          <w:lang w:val="en-US" w:eastAsia="zh-CN"/>
        </w:rPr>
        <w:t>《2024年咸安区高标准农田建设项目实施方案》</w:t>
      </w:r>
      <w:r>
        <w:rPr>
          <w:rFonts w:hint="eastAsia"/>
          <w:color w:val="auto"/>
          <w:lang w:val="en-US" w:eastAsia="zh-CN"/>
        </w:rPr>
        <w:t>。项目按照规定的程序申请设立，审批文件、材料符合相关要求，经过</w:t>
      </w:r>
      <w:r>
        <w:rPr>
          <w:rFonts w:hint="eastAsia"/>
          <w:lang w:val="en-US" w:eastAsia="zh-CN"/>
        </w:rPr>
        <w:t>必要的集体决策。项目设立了绩效目标，</w:t>
      </w:r>
      <w:r>
        <w:rPr>
          <w:rFonts w:hint="eastAsia"/>
        </w:rPr>
        <w:t>绩效目标</w:t>
      </w:r>
      <w:r>
        <w:rPr>
          <w:rFonts w:hint="eastAsia"/>
          <w:lang w:eastAsia="zh-CN"/>
        </w:rPr>
        <w:t>通过清晰、可衡量的指标值予以体现，任务数或计划数相对应。</w:t>
      </w:r>
      <w:r>
        <w:rPr>
          <w:rFonts w:hint="eastAsia"/>
          <w:lang w:val="en-US" w:eastAsia="zh-CN"/>
        </w:rPr>
        <w:t>预算内容与项目内容相匹配，预算资金额度测算和分配依据充分，</w:t>
      </w:r>
      <w:r>
        <w:rPr>
          <w:rFonts w:hint="eastAsia"/>
          <w:color w:val="auto"/>
        </w:rPr>
        <w:t>资金分配额度合理，与实际相适应。</w:t>
      </w:r>
    </w:p>
    <w:p>
      <w:pPr>
        <w:numPr>
          <w:ilvl w:val="0"/>
          <w:numId w:val="0"/>
        </w:numPr>
        <w:bidi w:val="0"/>
        <w:ind w:firstLine="642" w:firstLineChars="200"/>
        <w:rPr>
          <w:rFonts w:hint="default" w:cs="仿宋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2.项目过程方面。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资金到位率</w:t>
      </w:r>
      <w:r>
        <w:rPr>
          <w:rFonts w:hint="eastAsia" w:cs="仿宋"/>
          <w:color w:val="auto"/>
          <w:sz w:val="32"/>
          <w:szCs w:val="32"/>
          <w:lang w:val="en-US" w:eastAsia="zh-CN"/>
        </w:rPr>
        <w:t>100%；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到位及时率</w:t>
      </w:r>
      <w:r>
        <w:rPr>
          <w:rFonts w:hint="eastAsia" w:cs="仿宋"/>
          <w:color w:val="auto"/>
          <w:sz w:val="32"/>
          <w:szCs w:val="32"/>
          <w:lang w:val="en-US" w:eastAsia="zh-CN"/>
        </w:rPr>
        <w:t>100%；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预算执行率</w:t>
      </w:r>
      <w:r>
        <w:rPr>
          <w:rFonts w:hint="eastAsia"/>
          <w:color w:val="auto"/>
          <w:lang w:val="en-US" w:eastAsia="zh-CN"/>
        </w:rPr>
        <w:t>97.47%。项目采用国库集中支付。项目严格遵循《咸安区农业农村局管理制度》《咸安区农业农村局招投标和政府采购实施方案》《咸宁市咸安区高标准农田建设管理办法》。</w:t>
      </w:r>
    </w:p>
    <w:p>
      <w:pPr>
        <w:bidi w:val="0"/>
        <w:rPr>
          <w:rFonts w:hint="eastAsia" w:cs="仿宋"/>
          <w:b w:val="0"/>
          <w:bCs w:val="0"/>
          <w:color w:val="auto"/>
          <w:kern w:val="2"/>
          <w:sz w:val="32"/>
          <w:szCs w:val="21"/>
          <w:lang w:val="en-US" w:eastAsia="zh-CN" w:bidi="ar-SA"/>
        </w:rPr>
      </w:pPr>
      <w:bookmarkStart w:id="7" w:name="_Toc6685_WPSOffice_Level2"/>
      <w:bookmarkStart w:id="8" w:name="_Toc28954"/>
      <w:r>
        <w:rPr>
          <w:rFonts w:hint="eastAsia"/>
          <w:b/>
          <w:bCs/>
          <w:color w:val="auto"/>
          <w:lang w:val="en-US" w:eastAsia="zh-CN"/>
        </w:rPr>
        <w:t>3.项目</w:t>
      </w:r>
      <w:bookmarkEnd w:id="7"/>
      <w:bookmarkEnd w:id="8"/>
      <w:r>
        <w:rPr>
          <w:rFonts w:hint="eastAsia"/>
          <w:b/>
          <w:bCs/>
          <w:color w:val="auto"/>
          <w:lang w:val="en-US" w:eastAsia="zh-CN"/>
        </w:rPr>
        <w:t>产出方面。</w:t>
      </w:r>
      <w:r>
        <w:rPr>
          <w:rFonts w:hint="eastAsia" w:cs="仿宋"/>
          <w:b w:val="0"/>
          <w:bCs w:val="0"/>
          <w:color w:val="auto"/>
          <w:kern w:val="2"/>
          <w:sz w:val="32"/>
          <w:szCs w:val="21"/>
          <w:lang w:val="en-US" w:eastAsia="zh-CN" w:bidi="ar-SA"/>
        </w:rPr>
        <w:t>根据农田建设检测监管平台项目空间位置显示，项目区内提升改造实际面积共10195.41亩。项目实际开工日期2025年3月12日，截止2025年6月20日，尚未验收，尚未超出计划完成时间。</w:t>
      </w:r>
      <w:r>
        <w:rPr>
          <w:rFonts w:hint="eastAsia"/>
          <w:lang w:val="en-US" w:eastAsia="zh-CN"/>
        </w:rPr>
        <w:t>经实地查看，部分田块田面高差需进一步调整，以提升灌溉和耕作效果，受近期持续降雨影响，部分道路路面出现松散现象。</w:t>
      </w:r>
      <w:r>
        <w:rPr>
          <w:rFonts w:hint="default"/>
          <w:lang w:val="en-US" w:eastAsia="zh-CN"/>
        </w:rPr>
        <w:t>产出</w:t>
      </w:r>
      <w:r>
        <w:rPr>
          <w:rFonts w:hint="eastAsia"/>
          <w:lang w:val="en-US" w:eastAsia="zh-CN"/>
        </w:rPr>
        <w:t>成本节约</w:t>
      </w:r>
      <w:r>
        <w:rPr>
          <w:rFonts w:hint="default"/>
          <w:lang w:val="en-US" w:eastAsia="zh-CN"/>
        </w:rPr>
        <w:t>率</w:t>
      </w:r>
      <w:r>
        <w:rPr>
          <w:rFonts w:hint="eastAsia"/>
          <w:lang w:val="en-US" w:eastAsia="zh-CN"/>
        </w:rPr>
        <w:t>12.47%。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4.项目效益方面。</w:t>
      </w:r>
      <w:r>
        <w:rPr>
          <w:rFonts w:hint="eastAsia"/>
          <w:color w:val="auto"/>
          <w:lang w:val="en-US" w:eastAsia="zh-CN"/>
        </w:rPr>
        <w:t>田间道路通达度达100%。</w:t>
      </w:r>
      <w:r>
        <w:rPr>
          <w:rFonts w:hint="eastAsia"/>
          <w:lang w:val="en-US" w:eastAsia="zh-CN"/>
        </w:rPr>
        <w:t>项目绝大部分田地已种植农作物，仅少数未分田到户的土地仍处于闲置状态，导致整体农业生产效益未能显现。项目实施后农民预期收入将较上年提高约150元/亩。项目促进了社会稳定与和睦性，通过调查问卷统计，选择项目直接或间接提供了就业机会选项为90%。项目改善了农村生态环境，通过构建了稳定的生态系统，有利于改善农作物生长环境。项目提高了水资源利用率，提高了区域植被覆盖率，改善了农田小气候，一定程度上遏制了水土流失。截止2025年6月20日，项目未验收，未交付使用，无法得出可持续影响结论。</w:t>
      </w:r>
      <w:r>
        <w:rPr>
          <w:rFonts w:hint="eastAsia"/>
          <w:color w:val="auto"/>
          <w:lang w:val="en-US" w:eastAsia="zh-CN"/>
        </w:rPr>
        <w:t>项目满意度为100%。</w:t>
      </w:r>
    </w:p>
    <w:p>
      <w:pPr>
        <w:pStyle w:val="3"/>
        <w:bidi w:val="0"/>
        <w:rPr>
          <w:rFonts w:hint="eastAsia"/>
          <w:b w:val="0"/>
          <w:bCs w:val="0"/>
          <w:color w:val="auto"/>
          <w:lang w:val="en-US" w:eastAsia="zh-CN"/>
        </w:rPr>
      </w:pPr>
      <w:bookmarkStart w:id="9" w:name="_Toc6498"/>
      <w:bookmarkStart w:id="10" w:name="_Toc14663"/>
      <w:r>
        <w:rPr>
          <w:rFonts w:hint="eastAsia"/>
          <w:b w:val="0"/>
          <w:bCs w:val="0"/>
          <w:color w:val="auto"/>
          <w:lang w:val="en-US" w:eastAsia="zh-CN"/>
        </w:rPr>
        <w:t>三、存在的主要问题</w:t>
      </w:r>
      <w:bookmarkEnd w:id="9"/>
      <w:bookmarkEnd w:id="10"/>
    </w:p>
    <w:p>
      <w:pPr>
        <w:bidi w:val="0"/>
        <w:rPr>
          <w:rFonts w:hint="eastAsia"/>
          <w:sz w:val="32"/>
          <w:szCs w:val="32"/>
          <w:lang w:val="en-US" w:eastAsia="zh-CN"/>
        </w:rPr>
      </w:pPr>
      <w:bookmarkStart w:id="11" w:name="_Toc18277"/>
      <w:bookmarkStart w:id="12" w:name="_Toc29056"/>
      <w:r>
        <w:rPr>
          <w:rFonts w:hint="eastAsia"/>
          <w:b/>
          <w:bCs/>
          <w:lang w:val="en-US" w:eastAsia="zh-CN"/>
        </w:rPr>
        <w:t>1.未完成验收，无质量证明。</w:t>
      </w:r>
      <w:r>
        <w:rPr>
          <w:rFonts w:hint="eastAsia"/>
          <w:sz w:val="32"/>
          <w:szCs w:val="32"/>
          <w:lang w:val="en-US" w:eastAsia="zh-CN"/>
        </w:rPr>
        <w:t>截止2025年6月20日，该项目尚未完成验收工作，尚未出具正式的验收报告和相关材料证明耕地质量提升效果。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2.</w:t>
      </w:r>
      <w:r>
        <w:rPr>
          <w:rFonts w:hint="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部分土地平整水平需提升</w:t>
      </w:r>
      <w:r>
        <w:rPr>
          <w:rFonts w:hint="eastAsia"/>
          <w:b/>
          <w:bCs/>
          <w:highlight w:val="none"/>
          <w:lang w:val="en-US" w:eastAsia="zh-CN"/>
        </w:rPr>
        <w:t>。</w:t>
      </w:r>
      <w:r>
        <w:rPr>
          <w:rFonts w:hint="eastAsia"/>
          <w:lang w:val="en-US" w:eastAsia="zh-CN"/>
        </w:rPr>
        <w:t>经实地查看，部分田块田面高差需进一步调整，以提升灌溉和耕作效果。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 w:cs="仿宋"/>
          <w:b/>
          <w:bCs/>
          <w:color w:val="auto"/>
          <w:sz w:val="32"/>
          <w:szCs w:val="32"/>
          <w:lang w:val="en-US" w:eastAsia="zh-CN"/>
        </w:rPr>
        <w:t>田间道路稳定性受天气影响。</w:t>
      </w:r>
      <w:r>
        <w:rPr>
          <w:rFonts w:hint="eastAsia"/>
          <w:lang w:val="en-US" w:eastAsia="zh-CN"/>
        </w:rPr>
        <w:t>经实地查看，受近期持续降雨影响，部分道路路面出现松散现象。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4.项目区农田已基本种植，少量未分配地块待利用。</w:t>
      </w:r>
      <w:r>
        <w:rPr>
          <w:rFonts w:hint="eastAsia"/>
          <w:lang w:val="en-US" w:eastAsia="zh-CN"/>
        </w:rPr>
        <w:t>经实地查看，项目区内绝大部分田地已种植农作物，仅少数未分田到户的土地仍处于闲置状态，因此整体农业生产效益未能显现。</w:t>
      </w:r>
    </w:p>
    <w:p>
      <w:pPr>
        <w:rPr>
          <w:rFonts w:hint="eastAsia" w:cs="仿宋"/>
          <w:b w:val="0"/>
          <w:bCs w:val="0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eastAsia"/>
          <w:b/>
          <w:bCs/>
          <w:color w:val="auto"/>
          <w:lang w:val="en-US" w:eastAsia="zh-CN"/>
        </w:rPr>
        <w:t>5.项目实际建设工期与实</w:t>
      </w:r>
      <w:r>
        <w:rPr>
          <w:rFonts w:hint="eastAsia" w:cs="仿宋"/>
          <w:b/>
          <w:bCs/>
          <w:color w:val="auto"/>
          <w:kern w:val="2"/>
          <w:sz w:val="32"/>
          <w:szCs w:val="21"/>
          <w:lang w:val="en-US" w:eastAsia="zh-CN" w:bidi="ar-SA"/>
        </w:rPr>
        <w:t>施方案、项目初设批复不符。</w:t>
      </w:r>
      <w:r>
        <w:rPr>
          <w:rFonts w:hint="eastAsia"/>
          <w:color w:val="auto"/>
          <w:lang w:val="en-US" w:eastAsia="zh-CN"/>
        </w:rPr>
        <w:t>项目实</w:t>
      </w:r>
      <w:r>
        <w:rPr>
          <w:rFonts w:hint="eastAsia" w:cs="仿宋"/>
          <w:b w:val="0"/>
          <w:bCs w:val="0"/>
          <w:color w:val="auto"/>
          <w:kern w:val="2"/>
          <w:sz w:val="32"/>
          <w:szCs w:val="21"/>
          <w:lang w:val="en-US" w:eastAsia="zh-CN" w:bidi="ar-SA"/>
        </w:rPr>
        <w:t>施方案进度安排2024年9月—2025年6月完成工程建设和市级验收相关工作；项目初设批复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21"/>
          <w:lang w:val="en-US" w:eastAsia="zh-CN" w:bidi="ar-SA"/>
        </w:rPr>
        <w:t>（咸农发〔2024〕19号）</w:t>
      </w:r>
      <w:r>
        <w:rPr>
          <w:rFonts w:hint="eastAsia" w:cs="仿宋"/>
          <w:b w:val="0"/>
          <w:bCs w:val="0"/>
          <w:color w:val="auto"/>
          <w:kern w:val="2"/>
          <w:sz w:val="32"/>
          <w:szCs w:val="21"/>
          <w:lang w:val="en-US" w:eastAsia="zh-CN" w:bidi="ar-SA"/>
        </w:rPr>
        <w:t>规定项目建设期限2024年11月—2025年6月；</w:t>
      </w:r>
      <w:r>
        <w:rPr>
          <w:rFonts w:hint="eastAsia"/>
          <w:color w:val="auto"/>
          <w:lang w:val="en-US" w:eastAsia="zh-CN"/>
        </w:rPr>
        <w:t>项目施工合同计划2025年3月28日开工，2025年11月23日竣工，工期总日历天240天。</w:t>
      </w:r>
      <w:r>
        <w:rPr>
          <w:rFonts w:hint="eastAsia" w:cs="仿宋"/>
          <w:b w:val="0"/>
          <w:bCs w:val="0"/>
          <w:color w:val="auto"/>
          <w:kern w:val="2"/>
          <w:sz w:val="32"/>
          <w:szCs w:val="21"/>
          <w:lang w:val="en-US" w:eastAsia="zh-CN" w:bidi="ar-SA"/>
        </w:rPr>
        <w:t>项目实际开工日期为2025年3月12日，截止2025年6月20日，该项目尚未验收。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bookmarkStart w:id="13" w:name="_Toc11114"/>
      <w:r>
        <w:rPr>
          <w:rFonts w:hint="eastAsia"/>
          <w:b w:val="0"/>
          <w:bCs w:val="0"/>
          <w:color w:val="auto"/>
          <w:lang w:val="en-US" w:eastAsia="zh-CN"/>
        </w:rPr>
        <w:t>四、结果应用建议</w:t>
      </w:r>
      <w:bookmarkEnd w:id="11"/>
      <w:bookmarkEnd w:id="12"/>
      <w:bookmarkEnd w:id="13"/>
    </w:p>
    <w:p>
      <w:pPr>
        <w:bidi w:val="0"/>
        <w:rPr>
          <w:rFonts w:hint="default"/>
          <w:lang w:val="en-US" w:eastAsia="zh-CN"/>
        </w:rPr>
      </w:pPr>
      <w:bookmarkStart w:id="14" w:name="_Toc16855"/>
      <w:r>
        <w:rPr>
          <w:rFonts w:hint="eastAsia"/>
          <w:b/>
          <w:bCs/>
          <w:lang w:val="en-US" w:eastAsia="zh-CN"/>
        </w:rPr>
        <w:t>1.及时办理验收、结算、决算程序。</w:t>
      </w:r>
      <w:r>
        <w:rPr>
          <w:rFonts w:hint="eastAsia"/>
          <w:lang w:val="en-US" w:eastAsia="zh-CN"/>
        </w:rPr>
        <w:t>工程完工后，根据《建设工程质量管理条例》第十六条，建设单位在收到建设工程竣工报告后，应当及时组织设计、施工、工程监理等有关单位进行竣工验收；竣工价款结算一般应当在项目竣工验收后2个月内完成，大型项目一般不得超过3个月</w:t>
      </w:r>
      <w:r>
        <w:rPr>
          <w:rFonts w:hint="eastAsia"/>
        </w:rPr>
        <w:t>。</w:t>
      </w:r>
      <w:r>
        <w:rPr>
          <w:rFonts w:hint="default"/>
          <w:lang w:val="en-US" w:eastAsia="zh-CN"/>
        </w:rPr>
        <w:t>竣工财务决算应当在</w:t>
      </w:r>
      <w:r>
        <w:rPr>
          <w:rFonts w:hint="eastAsia"/>
          <w:lang w:val="en-US" w:eastAsia="zh-CN"/>
        </w:rPr>
        <w:t>竣工验收后</w:t>
      </w:r>
      <w:r>
        <w:rPr>
          <w:rFonts w:hint="default"/>
          <w:lang w:val="en-US" w:eastAsia="zh-CN"/>
        </w:rPr>
        <w:t>3个月内编报，特殊情况确需延长的，中小型项目不得超过2个月，大型项目不得超过6个月。</w:t>
      </w:r>
    </w:p>
    <w:p>
      <w:pPr>
        <w:bidi w:val="0"/>
        <w:ind w:left="0" w:leftChars="0" w:firstLine="642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2.提升土地平整度。</w:t>
      </w:r>
      <w:r>
        <w:rPr>
          <w:rFonts w:hint="eastAsia"/>
          <w:lang w:val="en-US" w:eastAsia="zh-CN"/>
        </w:rPr>
        <w:t>针对部分存在优化空间的田块结合农田灌溉与耕作需求，进一步优化田面平整度，合理调整田块高差，提升</w:t>
      </w:r>
      <m:oMath>
        <m:r>
          <m:rPr>
            <m:sty m:val="p"/>
          </m:rPr>
          <w:rPr>
            <w:rFonts w:hint="eastAsia" w:ascii="Cambria Math" w:hAnsi="Cambria Math" w:cs="Calibri"/>
            <w:kern w:val="2"/>
            <w:sz w:val="32"/>
            <w:szCs w:val="21"/>
            <w:lang w:val="en-US" w:eastAsia="zh-CN" w:bidi="ar-SA"/>
          </w:rPr>
          <m:t>耕作水平</m:t>
        </m:r>
      </m:oMath>
      <w:r>
        <w:rPr>
          <w:rFonts w:hint="eastAsia"/>
          <w:lang w:val="en-US" w:eastAsia="zh-CN"/>
        </w:rPr>
        <w:t>。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3.夯实田间道路。</w:t>
      </w:r>
      <w:r>
        <w:rPr>
          <w:rFonts w:hint="eastAsia"/>
          <w:b w:val="0"/>
          <w:bCs w:val="0"/>
          <w:lang w:val="en-US" w:eastAsia="zh-CN"/>
        </w:rPr>
        <w:t>针对已出现松散的道路进行局部修补加固，加强路基压实控制。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4.强化项目建后管护。</w:t>
      </w:r>
      <w:r>
        <w:rPr>
          <w:rFonts w:hint="eastAsia"/>
          <w:lang w:val="en-US" w:eastAsia="zh-CN"/>
        </w:rPr>
        <w:t>按照“谁受益、谁管护，谁使用、谁管护”的原则对已竣工验收的项目及时办理资产交付手续。规模化经营的地块，由项目运营单位或新型经营主体作为管护主体，落实管护责任，筹措管护经费，定期维护维修；分散经营地块，由村集体经济组织作为管护主体，组建“两员”(管护员+维修员)，开展日常巡查、维护维修，要加强用途管控，已建高标准农田应当划入永久基本农田，实行严格保护，严格管控转为林地、草地、园地等其他农用地和设施农业建设用地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5.完善过程管理机制。</w:t>
      </w:r>
      <w:r>
        <w:rPr>
          <w:rFonts w:hint="eastAsia"/>
          <w:lang w:val="en-US" w:eastAsia="zh-CN"/>
        </w:rPr>
        <w:t>对项目及时监管，动态调整工期计划。</w:t>
      </w:r>
    </w:p>
    <w:bookmarkEnd w:id="14"/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GBK">
    <w:altName w:val="方正小标宋简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90"/>
        <w:tab w:val="clear" w:pos="4153"/>
      </w:tabs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5257800</wp:posOffset>
              </wp:positionH>
              <wp:positionV relativeFrom="paragraph">
                <wp:posOffset>73025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pt;margin-top:5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tabs>
        <w:tab w:val="center" w:pos="449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auto"/>
      <w:ind w:left="0" w:leftChars="0" w:right="360" w:firstLine="0" w:firstLineChars="0"/>
      <w:textAlignment w:val="auto"/>
      <w:rPr>
        <w:rFonts w:hint="default" w:cs="Times New Roman"/>
        <w:lang w:val="en-US"/>
      </w:rPr>
    </w:pPr>
  </w:p>
  <w:p>
    <w:pPr>
      <w:pStyle w:val="8"/>
      <w:keepNext w:val="0"/>
      <w:keepLines w:val="0"/>
      <w:pageBreakBefore w:val="0"/>
      <w:widowControl w:val="0"/>
      <w:tabs>
        <w:tab w:val="center" w:pos="449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auto"/>
      <w:ind w:left="0" w:leftChars="0" w:right="360" w:firstLine="0" w:firstLineChars="0"/>
      <w:textAlignment w:val="auto"/>
      <w:rPr>
        <w:rFonts w:hint="default" w:cs="Times New Roman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4543425</wp:posOffset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7.75pt;margin-top:3.3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ind w:left="0" w:leftChars="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61971"/>
    <w:multiLevelType w:val="singleLevel"/>
    <w:tmpl w:val="531619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77E4"/>
    <w:rsid w:val="02A75687"/>
    <w:rsid w:val="03E94B2B"/>
    <w:rsid w:val="03EF1A15"/>
    <w:rsid w:val="049D4257"/>
    <w:rsid w:val="05A02547"/>
    <w:rsid w:val="07AF7E3A"/>
    <w:rsid w:val="08D74A5E"/>
    <w:rsid w:val="08DD233C"/>
    <w:rsid w:val="090441B5"/>
    <w:rsid w:val="09552FEF"/>
    <w:rsid w:val="0D5D5C42"/>
    <w:rsid w:val="0F011985"/>
    <w:rsid w:val="0F847DFE"/>
    <w:rsid w:val="115B693C"/>
    <w:rsid w:val="11982B52"/>
    <w:rsid w:val="12B27C40"/>
    <w:rsid w:val="151412DC"/>
    <w:rsid w:val="16AF53BE"/>
    <w:rsid w:val="16C531D6"/>
    <w:rsid w:val="18153CE9"/>
    <w:rsid w:val="189E370F"/>
    <w:rsid w:val="19AA378C"/>
    <w:rsid w:val="1B3221C5"/>
    <w:rsid w:val="1BEC0C12"/>
    <w:rsid w:val="1BF46F59"/>
    <w:rsid w:val="1D817A04"/>
    <w:rsid w:val="1EDC3211"/>
    <w:rsid w:val="215533A8"/>
    <w:rsid w:val="21801B02"/>
    <w:rsid w:val="23ED3D6C"/>
    <w:rsid w:val="2403533D"/>
    <w:rsid w:val="24AE27A9"/>
    <w:rsid w:val="24E30CCB"/>
    <w:rsid w:val="25A14E0E"/>
    <w:rsid w:val="25F25669"/>
    <w:rsid w:val="26043235"/>
    <w:rsid w:val="261455E0"/>
    <w:rsid w:val="285F5840"/>
    <w:rsid w:val="290C4E0E"/>
    <w:rsid w:val="293956FA"/>
    <w:rsid w:val="29F54404"/>
    <w:rsid w:val="2A2A3EA1"/>
    <w:rsid w:val="2AC95F5A"/>
    <w:rsid w:val="2C227515"/>
    <w:rsid w:val="2E3A7BAD"/>
    <w:rsid w:val="2E4C168F"/>
    <w:rsid w:val="32F26CA9"/>
    <w:rsid w:val="331826EB"/>
    <w:rsid w:val="374E0226"/>
    <w:rsid w:val="37873738"/>
    <w:rsid w:val="3B763C74"/>
    <w:rsid w:val="3B7D732B"/>
    <w:rsid w:val="3C361F26"/>
    <w:rsid w:val="4070745F"/>
    <w:rsid w:val="42791D7B"/>
    <w:rsid w:val="430F3D4D"/>
    <w:rsid w:val="4583660E"/>
    <w:rsid w:val="49080B7C"/>
    <w:rsid w:val="49546746"/>
    <w:rsid w:val="49E05655"/>
    <w:rsid w:val="4B523FAD"/>
    <w:rsid w:val="4BFB610E"/>
    <w:rsid w:val="4C0A0997"/>
    <w:rsid w:val="4C786019"/>
    <w:rsid w:val="4F2C4E99"/>
    <w:rsid w:val="4FDA48F5"/>
    <w:rsid w:val="5109734C"/>
    <w:rsid w:val="51962179"/>
    <w:rsid w:val="51B66551"/>
    <w:rsid w:val="53F561A1"/>
    <w:rsid w:val="53FF0DCE"/>
    <w:rsid w:val="546450D5"/>
    <w:rsid w:val="563A433F"/>
    <w:rsid w:val="56A17F1A"/>
    <w:rsid w:val="571C3A45"/>
    <w:rsid w:val="576E23B2"/>
    <w:rsid w:val="57764269"/>
    <w:rsid w:val="580411AC"/>
    <w:rsid w:val="584D65AC"/>
    <w:rsid w:val="589715D5"/>
    <w:rsid w:val="589C4E3D"/>
    <w:rsid w:val="58C02291"/>
    <w:rsid w:val="5AA77AC9"/>
    <w:rsid w:val="5AAD7CAE"/>
    <w:rsid w:val="5B5B24BF"/>
    <w:rsid w:val="5BB85D97"/>
    <w:rsid w:val="5DFB0858"/>
    <w:rsid w:val="5EB102BA"/>
    <w:rsid w:val="5FBF1411"/>
    <w:rsid w:val="5FCC24AC"/>
    <w:rsid w:val="5FFE63DD"/>
    <w:rsid w:val="62496F0D"/>
    <w:rsid w:val="62593D9F"/>
    <w:rsid w:val="63436839"/>
    <w:rsid w:val="635A3D44"/>
    <w:rsid w:val="646F1777"/>
    <w:rsid w:val="65C37EAD"/>
    <w:rsid w:val="6683763C"/>
    <w:rsid w:val="67702C17"/>
    <w:rsid w:val="69821E2D"/>
    <w:rsid w:val="6A0D5B9B"/>
    <w:rsid w:val="6AB9187F"/>
    <w:rsid w:val="6BFA6B2F"/>
    <w:rsid w:val="6C196DB0"/>
    <w:rsid w:val="6C1D31AD"/>
    <w:rsid w:val="6C450EF0"/>
    <w:rsid w:val="6E8E6B7E"/>
    <w:rsid w:val="6EBE4FAB"/>
    <w:rsid w:val="705D4A5A"/>
    <w:rsid w:val="708D07B6"/>
    <w:rsid w:val="70DF3FBB"/>
    <w:rsid w:val="729130E1"/>
    <w:rsid w:val="735F4F8D"/>
    <w:rsid w:val="73EB3CB5"/>
    <w:rsid w:val="7518166E"/>
    <w:rsid w:val="75385A96"/>
    <w:rsid w:val="761158B3"/>
    <w:rsid w:val="77975BED"/>
    <w:rsid w:val="781E71C5"/>
    <w:rsid w:val="783A53EF"/>
    <w:rsid w:val="78986F77"/>
    <w:rsid w:val="78F41063"/>
    <w:rsid w:val="7C8D4919"/>
    <w:rsid w:val="7C9B5288"/>
    <w:rsid w:val="7CBC51FE"/>
    <w:rsid w:val="7D00333D"/>
    <w:rsid w:val="7D4410C5"/>
    <w:rsid w:val="7E6350DF"/>
    <w:rsid w:val="FBB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qFormat="1" w:unhideWhenUsed="0" w:uiPriority="99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 w:line="360" w:lineRule="auto"/>
      <w:ind w:firstLine="640" w:firstLineChars="200"/>
      <w:outlineLvl w:val="0"/>
    </w:pPr>
    <w:rPr>
      <w:rFonts w:ascii="Calibri" w:hAnsi="Calibri" w:eastAsia="仿宋" w:cs="Calibri"/>
      <w:b/>
      <w:bCs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wordWrap w:val="0"/>
      <w:spacing w:beforeAutospacing="1" w:after="-2147483648" w:afterAutospacing="1" w:line="560" w:lineRule="exact"/>
      <w:ind w:firstLine="640" w:firstLineChars="200"/>
      <w:jc w:val="left"/>
      <w:outlineLvl w:val="1"/>
    </w:pPr>
    <w:rPr>
      <w:rFonts w:hint="eastAsia" w:ascii="宋体" w:hAnsi="宋体" w:eastAsia="黑体" w:cs="宋体"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120" w:lineRule="atLeast"/>
      <w:outlineLvl w:val="3"/>
    </w:pPr>
    <w:rPr>
      <w:rFonts w:ascii="仿宋" w:hAnsi="仿宋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0" w:leftChars="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semiHidden/>
    <w:qFormat/>
    <w:uiPriority w:val="99"/>
    <w:pPr>
      <w:ind w:firstLine="0" w:firstLineChars="0"/>
    </w:pPr>
  </w:style>
  <w:style w:type="paragraph" w:styleId="11">
    <w:name w:val="toc 2"/>
    <w:basedOn w:val="1"/>
    <w:next w:val="1"/>
    <w:semiHidden/>
    <w:qFormat/>
    <w:uiPriority w:val="99"/>
    <w:pPr>
      <w:ind w:left="0" w:leftChars="0" w:firstLine="320" w:firstLineChars="100"/>
    </w:pPr>
  </w:style>
  <w:style w:type="paragraph" w:styleId="12">
    <w:name w:val="Normal (Web)"/>
    <w:basedOn w:val="1"/>
    <w:qFormat/>
    <w:uiPriority w:val="0"/>
    <w:rPr>
      <w:sz w:val="24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11576</Words>
  <Characters>12512</Characters>
  <Lines>0</Lines>
  <Paragraphs>0</Paragraphs>
  <TotalTime>4</TotalTime>
  <ScaleCrop>false</ScaleCrop>
  <LinksUpToDate>false</LinksUpToDate>
  <CharactersWithSpaces>12928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2025-06-25T00:05:00Z</dcterms:created>
  <dc:creator>Administrator</dc:creator>
  <cp:lastModifiedBy>guest</cp:lastModifiedBy>
  <cp:lastPrinted>2025-08-05T00:16:00Z</cp:lastPrinted>
  <dcterms:modified xsi:type="dcterms:W3CDTF">2025-12-09T14:52:55Z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KSOTemplateDocerSaveRecord">
    <vt:lpwstr>eyJoZGlkIjoiMGIxYzg5ZjliZTFjNTYzZjJhZTIxMmEzYWU0MjkwYTUiLCJ1c2VySWQiOiIxMjg3NzA4Njg3In0=</vt:lpwstr>
  </property>
  <property fmtid="{D5CDD505-2E9C-101B-9397-08002B2CF9AE}" pid="4" name="ICV">
    <vt:lpwstr>2BEB25495989427D9BB2D92D5DE7A55D_13</vt:lpwstr>
  </property>
</Properties>
</file>