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ind w:firstLine="480" w:firstLineChars="150"/>
        <w:jc w:val="right"/>
        <w:rPr>
          <w:rFonts w:hint="default" w:ascii="宋体" w:hAnsi="宋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方正小标宋GBK" w:hAnsi="宋体" w:eastAsia="方正小标宋GBK" w:cs="宋体"/>
          <w:b/>
          <w:bCs/>
          <w:sz w:val="36"/>
          <w:szCs w:val="36"/>
          <w:lang w:val="en-US" w:eastAsia="zh-CN"/>
        </w:rPr>
      </w:pPr>
      <w:bookmarkStart w:id="0" w:name="_Toc16086"/>
      <w:r>
        <w:rPr>
          <w:rFonts w:hint="eastAsia" w:ascii="方正小标宋GBK" w:hAnsi="宋体" w:eastAsia="方正小标宋GBK" w:cs="宋体"/>
          <w:b/>
          <w:bCs/>
          <w:sz w:val="36"/>
          <w:szCs w:val="36"/>
          <w:lang w:val="en-US" w:eastAsia="zh-CN"/>
        </w:rPr>
        <w:t>2023年重大水利建设专项资金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方正小标宋GBK" w:hAnsi="宋体" w:eastAsia="方正小标宋GBK" w:cs="宋体"/>
          <w:b/>
          <w:sz w:val="52"/>
          <w:szCs w:val="52"/>
        </w:rPr>
      </w:pPr>
      <w:r>
        <w:rPr>
          <w:rFonts w:hint="eastAsia" w:ascii="方正小标宋GBK" w:hAnsi="宋体" w:eastAsia="方正小标宋GBK" w:cs="宋体"/>
          <w:b/>
          <w:bCs/>
          <w:sz w:val="36"/>
          <w:szCs w:val="36"/>
          <w:lang w:val="en-US" w:eastAsia="zh-CN"/>
        </w:rPr>
        <w:t>绩效评价报告</w:t>
      </w:r>
    </w:p>
    <w:p>
      <w:pPr>
        <w:bidi w:val="0"/>
        <w:rPr>
          <w:rFonts w:hint="eastAsia"/>
          <w:lang w:eastAsia="zh-CN"/>
        </w:rPr>
      </w:pPr>
    </w:p>
    <w:bookmarkEnd w:id="0"/>
    <w:p>
      <w:pPr>
        <w:pStyle w:val="2"/>
        <w:bidi w:val="0"/>
        <w:jc w:val="center"/>
        <w:rPr>
          <w:rFonts w:hint="eastAsia" w:ascii="黑体" w:hAnsi="黑体" w:eastAsia="黑体" w:cs="黑体"/>
          <w:b/>
          <w:bCs w:val="0"/>
          <w:color w:val="auto"/>
        </w:rPr>
      </w:pPr>
      <w:bookmarkStart w:id="22" w:name="_GoBack"/>
      <w:bookmarkEnd w:id="22"/>
    </w:p>
    <w:p>
      <w:pPr>
        <w:pStyle w:val="3"/>
        <w:bidi w:val="0"/>
        <w:rPr>
          <w:rFonts w:hint="eastAsia"/>
          <w:color w:val="auto"/>
          <w:lang w:eastAsia="zh-CN"/>
        </w:rPr>
      </w:pPr>
      <w:bookmarkStart w:id="1" w:name="_Toc28488_WPSOffice_Level2"/>
      <w:bookmarkStart w:id="2" w:name="_Toc17980"/>
      <w:bookmarkStart w:id="3" w:name="_Toc6370"/>
      <w:bookmarkStart w:id="4" w:name="_Toc5559"/>
      <w:bookmarkStart w:id="5" w:name="_Toc27675"/>
      <w:bookmarkStart w:id="6" w:name="_Toc27759"/>
      <w:r>
        <w:rPr>
          <w:rFonts w:hint="eastAsia"/>
          <w:color w:val="auto"/>
          <w:lang w:eastAsia="zh-CN"/>
        </w:rPr>
        <w:t>一、综合评分</w:t>
      </w:r>
      <w:bookmarkEnd w:id="1"/>
      <w:bookmarkEnd w:id="2"/>
      <w:bookmarkEnd w:id="3"/>
      <w:bookmarkEnd w:id="4"/>
      <w:bookmarkEnd w:id="5"/>
      <w:bookmarkEnd w:id="6"/>
    </w:p>
    <w:p>
      <w:pPr>
        <w:bidi w:val="0"/>
        <w:rPr>
          <w:rFonts w:hint="eastAsia"/>
        </w:rPr>
      </w:pPr>
      <w:bookmarkStart w:id="7" w:name="_Toc32219"/>
      <w:r>
        <w:rPr>
          <w:rFonts w:hint="eastAsia"/>
        </w:rPr>
        <w:t>根据项目支出绩效评价的要求，按照项目支出绩效评价指标进行分析，对指标体系进行评分，此次绩效评价的综合得分</w:t>
      </w:r>
      <w:r>
        <w:rPr>
          <w:rFonts w:hint="eastAsia"/>
          <w:lang w:val="en-US" w:eastAsia="zh-CN"/>
        </w:rPr>
        <w:t>93</w:t>
      </w:r>
      <w:r>
        <w:rPr>
          <w:rFonts w:hint="eastAsia"/>
        </w:rPr>
        <w:t>分，评价等级为</w:t>
      </w:r>
      <w:r>
        <w:rPr>
          <w:rFonts w:hint="eastAsia"/>
          <w:lang w:val="en-US" w:eastAsia="zh-CN"/>
        </w:rPr>
        <w:t>优</w:t>
      </w:r>
      <w:r>
        <w:rPr>
          <w:rFonts w:hint="eastAsia"/>
        </w:rPr>
        <w:t>。</w:t>
      </w:r>
    </w:p>
    <w:tbl>
      <w:tblPr>
        <w:tblStyle w:val="10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568"/>
        <w:gridCol w:w="2338"/>
        <w:gridCol w:w="2058"/>
        <w:gridCol w:w="15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标准分数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评价得分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决策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20.00 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过程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20.00 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16.00</w:t>
            </w:r>
          </w:p>
        </w:tc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产出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27.00</w:t>
            </w:r>
          </w:p>
        </w:tc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效益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30.00 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30.00</w:t>
            </w:r>
          </w:p>
        </w:tc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100.00 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93.00</w:t>
            </w:r>
          </w:p>
        </w:tc>
        <w:tc>
          <w:tcPr>
            <w:tcW w:w="8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pStyle w:val="3"/>
        <w:numPr>
          <w:ilvl w:val="0"/>
          <w:numId w:val="1"/>
        </w:numPr>
        <w:bidi w:val="0"/>
        <w:rPr>
          <w:rFonts w:hint="eastAsia"/>
          <w:b w:val="0"/>
          <w:bCs w:val="0"/>
          <w:color w:val="auto"/>
          <w:lang w:eastAsia="zh-CN"/>
        </w:rPr>
      </w:pPr>
      <w:bookmarkStart w:id="8" w:name="_Toc28661"/>
      <w:bookmarkStart w:id="9" w:name="_Toc1006"/>
      <w:bookmarkStart w:id="10" w:name="_Toc19523"/>
      <w:r>
        <w:rPr>
          <w:rFonts w:hint="eastAsia"/>
          <w:b w:val="0"/>
          <w:bCs w:val="0"/>
          <w:color w:val="auto"/>
          <w:lang w:eastAsia="zh-CN"/>
        </w:rPr>
        <w:t>项目绩效完成情况分析</w:t>
      </w:r>
      <w:bookmarkEnd w:id="7"/>
      <w:bookmarkEnd w:id="8"/>
      <w:bookmarkEnd w:id="9"/>
      <w:bookmarkEnd w:id="1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湖北省财政厅以《省财政厅关于下达2023年重大水利建设专项资金预算（第一批）得通知》（鄂财农发〔2023〕39号），实际到位资金260万元，该资金属于咸宁市汀泗河系统治理工程（总投资5264.63万元）的组成部分，主要建设内容为咸宁市汀泗河系统治理工程（二期），资金下达文件未明确限定具体用途，且项目实施过程中实行整体统筹管理。</w:t>
      </w:r>
    </w:p>
    <w:p>
      <w:pPr>
        <w:bidi w:val="0"/>
        <w:rPr>
          <w:rFonts w:hint="eastAsia"/>
          <w:highlight w:val="none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1.项目决策方面。</w:t>
      </w:r>
      <w:r>
        <w:rPr>
          <w:rFonts w:hint="eastAsia"/>
          <w:highlight w:val="none"/>
          <w:lang w:val="en-US" w:eastAsia="zh-CN"/>
        </w:rPr>
        <w:t>项目列入《湖北省水利补短板强功能工程三年行动实施方案（2020-2022）》（鄂政办发</w:t>
      </w:r>
      <w:r>
        <w:rPr>
          <w:rFonts w:hint="default"/>
          <w:highlight w:val="none"/>
          <w:lang w:val="en-US" w:eastAsia="zh-CN"/>
        </w:rPr>
        <w:t>〔202</w:t>
      </w:r>
      <w:r>
        <w:rPr>
          <w:rFonts w:hint="eastAsia"/>
          <w:highlight w:val="none"/>
          <w:lang w:val="en-US" w:eastAsia="zh-CN"/>
        </w:rPr>
        <w:t>0</w:t>
      </w:r>
      <w:r>
        <w:rPr>
          <w:rFonts w:hint="default"/>
          <w:highlight w:val="none"/>
          <w:lang w:val="en-US" w:eastAsia="zh-CN"/>
        </w:rPr>
        <w:t>〕</w:t>
      </w:r>
      <w:r>
        <w:rPr>
          <w:rFonts w:hint="eastAsia"/>
          <w:highlight w:val="none"/>
          <w:lang w:val="en-US" w:eastAsia="zh-CN"/>
        </w:rPr>
        <w:t>45</w:t>
      </w:r>
      <w:r>
        <w:rPr>
          <w:rFonts w:hint="default"/>
          <w:highlight w:val="none"/>
          <w:lang w:val="en-US" w:eastAsia="zh-CN"/>
        </w:rPr>
        <w:t>号</w:t>
      </w:r>
      <w:r>
        <w:rPr>
          <w:rFonts w:hint="eastAsia"/>
          <w:highlight w:val="none"/>
          <w:lang w:val="en-US" w:eastAsia="zh-CN"/>
        </w:rPr>
        <w:t>），申报和审批等程序，符合审批文件、材料相关要求。</w:t>
      </w:r>
      <w:r>
        <w:rPr>
          <w:rFonts w:hint="eastAsia"/>
          <w:lang w:val="en-US" w:eastAsia="zh-CN"/>
        </w:rPr>
        <w:t>《关于下达2023年重大水利建设专项资金预算（第一批）的通知》（鄂财农发</w:t>
      </w:r>
      <w:r>
        <w:rPr>
          <w:rFonts w:hint="default"/>
          <w:highlight w:val="none"/>
          <w:lang w:val="en-US" w:eastAsia="zh-CN"/>
        </w:rPr>
        <w:t>〔202</w:t>
      </w:r>
      <w:r>
        <w:rPr>
          <w:rFonts w:hint="eastAsia"/>
          <w:highlight w:val="none"/>
          <w:lang w:val="en-US" w:eastAsia="zh-CN"/>
        </w:rPr>
        <w:t>3</w:t>
      </w:r>
      <w:r>
        <w:rPr>
          <w:rFonts w:hint="default"/>
          <w:highlight w:val="none"/>
          <w:lang w:val="en-US" w:eastAsia="zh-CN"/>
        </w:rPr>
        <w:t>〕</w:t>
      </w:r>
      <w:r>
        <w:rPr>
          <w:rFonts w:hint="eastAsia"/>
          <w:highlight w:val="none"/>
          <w:lang w:val="en-US" w:eastAsia="zh-CN"/>
        </w:rPr>
        <w:t>39</w:t>
      </w:r>
      <w:r>
        <w:rPr>
          <w:rFonts w:hint="default"/>
          <w:highlight w:val="none"/>
          <w:lang w:val="en-US" w:eastAsia="zh-CN"/>
        </w:rPr>
        <w:t>号</w:t>
      </w:r>
      <w:r>
        <w:rPr>
          <w:rFonts w:hint="eastAsia"/>
          <w:highlight w:val="none"/>
          <w:lang w:val="en-US" w:eastAsia="zh-CN"/>
        </w:rPr>
        <w:t>）</w:t>
      </w:r>
      <w:r>
        <w:rPr>
          <w:rFonts w:hint="eastAsia"/>
          <w:lang w:val="en-US" w:eastAsia="zh-CN"/>
        </w:rPr>
        <w:t>设立了绩效目标表。</w:t>
      </w:r>
      <w:r>
        <w:rPr>
          <w:rFonts w:hint="eastAsia"/>
          <w:highlight w:val="none"/>
          <w:lang w:val="en-US" w:eastAsia="zh-CN"/>
        </w:rPr>
        <w:t>资金根据项目的特点及实际情况，统筹考虑、集中使用，未制定明确、细化的分配计划。</w:t>
      </w:r>
    </w:p>
    <w:p>
      <w:pPr>
        <w:numPr>
          <w:ilvl w:val="0"/>
          <w:numId w:val="0"/>
        </w:numPr>
        <w:bidi w:val="0"/>
        <w:ind w:firstLine="642" w:firstLineChars="200"/>
        <w:rPr>
          <w:rFonts w:hint="default" w:cs="仿宋"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2.项目过程方面。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资金到位率</w:t>
      </w:r>
      <w:r>
        <w:rPr>
          <w:rFonts w:hint="eastAsia" w:cs="仿宋"/>
          <w:color w:val="auto"/>
          <w:sz w:val="32"/>
          <w:szCs w:val="32"/>
          <w:lang w:val="en-US" w:eastAsia="zh-CN"/>
        </w:rPr>
        <w:t>100%；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预算执行率</w:t>
      </w:r>
      <w:r>
        <w:rPr>
          <w:rFonts w:hint="eastAsia"/>
          <w:color w:val="auto"/>
          <w:lang w:val="en-US" w:eastAsia="zh-CN"/>
        </w:rPr>
        <w:t>97.47%。项目采用国库集中支付。项目严格遵循</w:t>
      </w:r>
      <w:r>
        <w:rPr>
          <w:rFonts w:hint="eastAsia"/>
          <w:lang w:val="en-US" w:eastAsia="zh-CN"/>
        </w:rPr>
        <w:t>《安全生产管理制度》《质量管理制度》《财务管理制度》《合同管理制度》《会计档案管理制度》《计划执行管理制度》《内部管理制度》。</w:t>
      </w:r>
    </w:p>
    <w:p>
      <w:pPr>
        <w:numPr>
          <w:ilvl w:val="0"/>
          <w:numId w:val="0"/>
        </w:numPr>
        <w:bidi w:val="0"/>
        <w:ind w:firstLine="642" w:firstLineChars="200"/>
        <w:rPr>
          <w:rFonts w:hint="default"/>
          <w:lang w:val="en-US" w:eastAsia="zh-CN"/>
        </w:rPr>
      </w:pPr>
      <w:bookmarkStart w:id="11" w:name="_Toc28954"/>
      <w:bookmarkStart w:id="12" w:name="_Toc6685_WPSOffice_Level2"/>
      <w:r>
        <w:rPr>
          <w:rFonts w:hint="eastAsia"/>
          <w:b/>
          <w:bCs/>
          <w:color w:val="auto"/>
          <w:lang w:val="en-US" w:eastAsia="zh-CN"/>
        </w:rPr>
        <w:t>3.项目</w:t>
      </w:r>
      <w:bookmarkEnd w:id="11"/>
      <w:bookmarkEnd w:id="12"/>
      <w:r>
        <w:rPr>
          <w:rFonts w:hint="eastAsia"/>
          <w:b/>
          <w:bCs/>
          <w:color w:val="auto"/>
          <w:lang w:val="en-US" w:eastAsia="zh-CN"/>
        </w:rPr>
        <w:t>产出方面。</w:t>
      </w:r>
      <w:r>
        <w:rPr>
          <w:rFonts w:hint="eastAsia"/>
          <w:lang w:val="en-US" w:eastAsia="zh-CN"/>
        </w:rPr>
        <w:t>咸宁市汀泗河系统治理工程咸安段（二期）治理中小河流1条，主要建设内容为汀泗河幸福堰段岸坡护砌764米。截止基准日2025年5月31日，受汛期以及高温酷热天气影响尚未验收，实际工期为398日历天，项目施工合同约定工期为365日历天。完成及时率91.71%。项目未超过计划成本。</w:t>
      </w:r>
    </w:p>
    <w:p>
      <w:pPr>
        <w:numPr>
          <w:ilvl w:val="0"/>
          <w:numId w:val="0"/>
        </w:numPr>
        <w:bidi w:val="0"/>
        <w:ind w:firstLine="642" w:firstLineChars="200"/>
        <w:rPr>
          <w:rFonts w:hint="default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4.项目效益方面。</w:t>
      </w:r>
      <w:r>
        <w:rPr>
          <w:rFonts w:hint="eastAsia"/>
          <w:lang w:val="en-US" w:eastAsia="zh-CN"/>
        </w:rPr>
        <w:t>2024-2025年度汀泗河流域未发生洪灾。项目已支付至施工合同的60%，按照合同约定支付进度款，不影响资金周转效益。</w:t>
      </w:r>
      <w:r>
        <w:rPr>
          <w:rFonts w:hint="eastAsia"/>
          <w:highlight w:val="none"/>
          <w:lang w:val="en-US" w:eastAsia="zh-CN"/>
        </w:rPr>
        <w:t>项目实施后辐射耕地面积约0.42万亩，保护人口约0.42万人。能够满足设计使用年限内的正常运营需求，确保长期稳定发挥工程效益。</w:t>
      </w:r>
      <w:r>
        <w:rPr>
          <w:rFonts w:hint="eastAsia"/>
          <w:lang w:val="en-US" w:eastAsia="zh-CN"/>
        </w:rPr>
        <w:t>工程施工期间环境影响的管控满意度为100%，对河道周边生态环境（水质、绿化等）改善满意度为100%，项目治理后河道防洪能力有明显提升满意度为100%，项目整体满意度为100%。</w:t>
      </w:r>
    </w:p>
    <w:p>
      <w:pPr>
        <w:pStyle w:val="3"/>
        <w:bidi w:val="0"/>
        <w:ind w:left="0" w:leftChars="0" w:firstLine="640" w:firstLineChars="200"/>
        <w:rPr>
          <w:rFonts w:hint="eastAsia"/>
          <w:b w:val="0"/>
          <w:bCs w:val="0"/>
          <w:color w:val="auto"/>
          <w:lang w:val="en-US" w:eastAsia="zh-CN"/>
        </w:rPr>
      </w:pPr>
      <w:bookmarkStart w:id="13" w:name="_Toc2978"/>
      <w:bookmarkStart w:id="14" w:name="_Toc14663"/>
      <w:bookmarkStart w:id="15" w:name="_Toc6916"/>
      <w:bookmarkStart w:id="16" w:name="_Toc29763"/>
      <w:r>
        <w:rPr>
          <w:rFonts w:hint="eastAsia"/>
          <w:b w:val="0"/>
          <w:bCs w:val="0"/>
          <w:color w:val="auto"/>
          <w:lang w:val="en-US" w:eastAsia="zh-CN"/>
        </w:rPr>
        <w:t>三、存在的主要问题</w:t>
      </w:r>
      <w:bookmarkEnd w:id="13"/>
      <w:bookmarkEnd w:id="14"/>
      <w:bookmarkEnd w:id="15"/>
      <w:bookmarkEnd w:id="16"/>
    </w:p>
    <w:p>
      <w:pPr>
        <w:numPr>
          <w:ilvl w:val="0"/>
          <w:numId w:val="0"/>
        </w:numPr>
        <w:ind w:firstLine="640"/>
        <w:rPr>
          <w:rFonts w:hint="eastAsia"/>
          <w:highlight w:val="none"/>
          <w:lang w:val="en-US" w:eastAsia="zh-CN"/>
        </w:rPr>
      </w:pPr>
      <w:bookmarkStart w:id="17" w:name="_Toc18277"/>
      <w:bookmarkStart w:id="18" w:name="_Toc29056"/>
      <w:r>
        <w:rPr>
          <w:rFonts w:hint="eastAsia"/>
          <w:b/>
          <w:bCs/>
          <w:highlight w:val="none"/>
          <w:lang w:val="en-US" w:eastAsia="zh-CN"/>
        </w:rPr>
        <w:t>1.预算执行率有待提高。</w:t>
      </w:r>
      <w:r>
        <w:rPr>
          <w:rFonts w:hint="eastAsia"/>
          <w:highlight w:val="none"/>
          <w:lang w:val="en-US" w:eastAsia="zh-CN"/>
        </w:rPr>
        <w:t>实际到位资金260万元，实际支付资金159.70万元，预算执行率61.42%。</w:t>
      </w:r>
    </w:p>
    <w:p>
      <w:pPr>
        <w:numPr>
          <w:ilvl w:val="0"/>
          <w:numId w:val="0"/>
        </w:numPr>
        <w:ind w:firstLine="640"/>
        <w:rPr>
          <w:rFonts w:hint="eastAsia"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2.工程尚未完工验收。</w:t>
      </w:r>
      <w:r>
        <w:rPr>
          <w:rFonts w:hint="eastAsia"/>
          <w:highlight w:val="none"/>
          <w:lang w:val="en-US" w:eastAsia="zh-CN"/>
        </w:rPr>
        <w:t>咸宁市汀泗河系统治理工程咸安段（二期）2024年4月28日经监理公司恒晟水环境治理股份有限公司批准开工，截止基准日2025年5月31日尚未验收，工期为398日历天，项目施工合同约定工期为365日历天。完成及时率91.71%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b w:val="0"/>
          <w:bCs w:val="0"/>
          <w:color w:val="auto"/>
          <w:lang w:val="en-US" w:eastAsia="zh-CN"/>
        </w:rPr>
      </w:pPr>
      <w:bookmarkStart w:id="19" w:name="_Toc7050"/>
      <w:bookmarkStart w:id="20" w:name="_Toc32117"/>
      <w:bookmarkStart w:id="21" w:name="_Toc17121"/>
      <w:r>
        <w:rPr>
          <w:rFonts w:hint="eastAsia"/>
          <w:b w:val="0"/>
          <w:bCs w:val="0"/>
          <w:color w:val="auto"/>
          <w:lang w:val="en-US" w:eastAsia="zh-CN"/>
        </w:rPr>
        <w:t>四、结果应用建议</w:t>
      </w:r>
      <w:bookmarkEnd w:id="17"/>
      <w:bookmarkEnd w:id="18"/>
      <w:bookmarkEnd w:id="19"/>
      <w:bookmarkEnd w:id="20"/>
      <w:bookmarkEnd w:id="21"/>
    </w:p>
    <w:p>
      <w:pPr>
        <w:numPr>
          <w:ilvl w:val="0"/>
          <w:numId w:val="0"/>
        </w:numPr>
        <w:ind w:firstLine="640"/>
        <w:rPr>
          <w:rFonts w:hint="eastAsia"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1.提高项目资金使用效率。</w:t>
      </w:r>
      <w:r>
        <w:rPr>
          <w:rFonts w:hint="eastAsia"/>
          <w:highlight w:val="none"/>
          <w:lang w:val="en-US" w:eastAsia="zh-CN"/>
        </w:rPr>
        <w:t>保证项目资金按规定用途使用。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2.及时办理验收、结算、决算程序。</w:t>
      </w:r>
      <w:r>
        <w:rPr>
          <w:rFonts w:hint="eastAsia"/>
          <w:lang w:val="en-US" w:eastAsia="zh-CN"/>
        </w:rPr>
        <w:t>工程完工后，根据《建设工程质量管理条例》第十六条，建设单位在收到建设工程竣工报告后，应当及时组织设计、施工、工程监理等有关单位进行竣工验收；竣工价款结算一般应当在项目竣工验收后2个月内完成，大型项目一般不得超过3个月</w:t>
      </w:r>
      <w:r>
        <w:rPr>
          <w:rFonts w:hint="eastAsia"/>
        </w:rPr>
        <w:t>。</w:t>
      </w:r>
      <w:r>
        <w:rPr>
          <w:rFonts w:hint="default"/>
          <w:lang w:val="en-US" w:eastAsia="zh-CN"/>
        </w:rPr>
        <w:t>竣工财务决算应当在</w:t>
      </w:r>
      <w:r>
        <w:rPr>
          <w:rFonts w:hint="eastAsia"/>
          <w:lang w:val="en-US" w:eastAsia="zh-CN"/>
        </w:rPr>
        <w:t>竣工验收后</w:t>
      </w:r>
      <w:r>
        <w:rPr>
          <w:rFonts w:hint="default"/>
          <w:lang w:val="en-US" w:eastAsia="zh-CN"/>
        </w:rPr>
        <w:t>3个月内编报，特殊情况确需延长的，中小型项目不得超过2个月，大型项目不得超过6个月。</w:t>
      </w:r>
    </w:p>
    <w:p>
      <w:pPr>
        <w:ind w:left="0" w:leftChars="0" w:firstLine="0" w:firstLineChars="0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 w:start="35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GBK">
    <w:altName w:val="方正小标宋简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22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KAAAAAACHTuJAAAAAAAAAAAAAAAAABgAAAAAA&#10;AAAAABAAAACTAwAAX3JlbHMvUEsBAhQACgAAAAAAh07iQAAAAAAAAAAAAAAAAAQAAAAAAAAAAAAQ&#10;AAAAFgAAAGRycy9QSwECFAAUAAAACACHTuJA9YuHZDICAABhBAAADgAAAAAAAAABACAAAAA1AQAA&#10;ZHJzL2Uyb0RvYy54bWxQSwECFAAUAAAACACHTuJAs0lY7tAAAAAFAQAADwAAAAAAAAABACAAAAA4&#10;AAAAZHJzL2Rvd25yZXY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22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left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161971"/>
    <w:multiLevelType w:val="singleLevel"/>
    <w:tmpl w:val="5316197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0192E"/>
    <w:rsid w:val="0B116715"/>
    <w:rsid w:val="10BF69AB"/>
    <w:rsid w:val="12744159"/>
    <w:rsid w:val="149C48FF"/>
    <w:rsid w:val="151104DA"/>
    <w:rsid w:val="164E6A70"/>
    <w:rsid w:val="16540CC4"/>
    <w:rsid w:val="19F33BB6"/>
    <w:rsid w:val="1AAF7483"/>
    <w:rsid w:val="1DEE34D1"/>
    <w:rsid w:val="1F7532BF"/>
    <w:rsid w:val="26CF1507"/>
    <w:rsid w:val="2E5E42B2"/>
    <w:rsid w:val="3437693D"/>
    <w:rsid w:val="3ADD5229"/>
    <w:rsid w:val="3DAC3EF8"/>
    <w:rsid w:val="3E5315DD"/>
    <w:rsid w:val="413E3C18"/>
    <w:rsid w:val="42441068"/>
    <w:rsid w:val="42AE354F"/>
    <w:rsid w:val="47172C63"/>
    <w:rsid w:val="4C263A01"/>
    <w:rsid w:val="57792C45"/>
    <w:rsid w:val="5EEE216B"/>
    <w:rsid w:val="661853E7"/>
    <w:rsid w:val="667A3F66"/>
    <w:rsid w:val="6C020FFC"/>
    <w:rsid w:val="7C8F0B9F"/>
    <w:rsid w:val="7FBF1EBA"/>
    <w:rsid w:val="7FD65E13"/>
    <w:rsid w:val="FBFF8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qFormat="1" w:unhideWhenUsed="0" w:uiPriority="99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" w:hAnsi="仿宋" w:eastAsia="仿宋" w:cs="Calibr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" w:after="20" w:line="360" w:lineRule="auto"/>
      <w:ind w:firstLine="640" w:firstLineChars="200"/>
      <w:outlineLvl w:val="0"/>
    </w:pPr>
    <w:rPr>
      <w:rFonts w:ascii="Calibri" w:hAnsi="Calibri" w:eastAsia="仿宋" w:cs="Calibri"/>
      <w:b/>
      <w:bCs/>
      <w:kern w:val="44"/>
      <w:sz w:val="32"/>
      <w:szCs w:val="32"/>
    </w:rPr>
  </w:style>
  <w:style w:type="paragraph" w:styleId="3">
    <w:name w:val="heading 2"/>
    <w:basedOn w:val="1"/>
    <w:next w:val="1"/>
    <w:unhideWhenUsed/>
    <w:qFormat/>
    <w:uiPriority w:val="0"/>
    <w:pPr>
      <w:wordWrap w:val="0"/>
      <w:spacing w:beforeAutospacing="1" w:after="-2147483648" w:afterAutospacing="1" w:line="560" w:lineRule="exact"/>
      <w:ind w:firstLine="640" w:firstLineChars="200"/>
      <w:jc w:val="left"/>
      <w:outlineLvl w:val="1"/>
    </w:pPr>
    <w:rPr>
      <w:rFonts w:hint="eastAsia" w:ascii="宋体" w:hAnsi="宋体" w:eastAsia="黑体" w:cs="宋体"/>
      <w:kern w:val="0"/>
      <w:szCs w:val="36"/>
      <w:lang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eastAsia="楷体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ind w:left="0" w:leftChars="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semiHidden/>
    <w:qFormat/>
    <w:uiPriority w:val="99"/>
    <w:pPr>
      <w:ind w:firstLine="0" w:firstLineChars="0"/>
    </w:pPr>
  </w:style>
  <w:style w:type="paragraph" w:styleId="9">
    <w:name w:val="toc 2"/>
    <w:basedOn w:val="1"/>
    <w:next w:val="1"/>
    <w:semiHidden/>
    <w:qFormat/>
    <w:uiPriority w:val="99"/>
    <w:pPr>
      <w:ind w:left="0" w:leftChars="0" w:firstLine="320" w:firstLineChars="100"/>
    </w:pPr>
  </w:style>
  <w:style w:type="paragraph" w:customStyle="1" w:styleId="1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7461</Words>
  <Characters>8041</Characters>
  <Lines>0</Lines>
  <Paragraphs>0</Paragraphs>
  <TotalTime>10</TotalTime>
  <ScaleCrop>false</ScaleCrop>
  <LinksUpToDate>false</LinksUpToDate>
  <CharactersWithSpaces>8333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2024-12-09T04:02:00Z</dcterms:created>
  <dc:creator>DELL</dc:creator>
  <cp:lastModifiedBy>guest</cp:lastModifiedBy>
  <dcterms:modified xsi:type="dcterms:W3CDTF">2025-12-09T14:52:37Z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809D73907A6E4B979F23797266C814BE_13</vt:lpwstr>
  </property>
  <property fmtid="{D5CDD505-2E9C-101B-9397-08002B2CF9AE}" pid="4" name="KSOTemplateDocerSaveRecord">
    <vt:lpwstr>eyJoZGlkIjoiMGIxYzg5ZjliZTFjNTYzZjJhZTIxMmEzYWU0MjkwYTUiLCJ1c2VySWQiOiIxMjg3NzA4Njg3In0=</vt:lpwstr>
  </property>
</Properties>
</file>