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GBK" w:hAnsi="宋体" w:eastAsia="方正小标宋GBK" w:cs="宋体"/>
          <w:b/>
          <w:bCs/>
          <w:sz w:val="36"/>
          <w:szCs w:val="36"/>
          <w:lang w:val="en-US" w:eastAsia="zh-CN"/>
        </w:rPr>
      </w:pPr>
      <w:r>
        <w:rPr>
          <w:rFonts w:hint="eastAsia" w:ascii="方正小标宋GBK" w:hAnsi="宋体" w:eastAsia="方正小标宋GBK" w:cs="宋体"/>
          <w:b/>
          <w:bCs/>
          <w:sz w:val="36"/>
          <w:szCs w:val="36"/>
          <w:lang w:val="en-US" w:eastAsia="zh-CN"/>
        </w:rPr>
        <w:t>2024年中央和省级农业防灾减灾和水利救灾资金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GBK" w:hAnsi="宋体" w:eastAsia="方正小标宋GBK" w:cs="宋体"/>
          <w:b/>
          <w:bCs/>
          <w:sz w:val="36"/>
          <w:szCs w:val="36"/>
          <w:lang w:val="en-US" w:eastAsia="zh-CN"/>
        </w:rPr>
      </w:pPr>
      <w:r>
        <w:rPr>
          <w:rFonts w:hint="eastAsia" w:ascii="方正小标宋GBK" w:hAnsi="宋体" w:eastAsia="方正小标宋GBK" w:cs="宋体"/>
          <w:b/>
          <w:bCs/>
          <w:sz w:val="36"/>
          <w:szCs w:val="36"/>
          <w:lang w:val="en-US" w:eastAsia="zh-CN"/>
        </w:rPr>
        <w:t>绩效评价报告</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642" w:firstLineChars="200"/>
        <w:jc w:val="center"/>
        <w:outlineLvl w:val="0"/>
        <w:rPr>
          <w:rFonts w:hint="eastAsia" w:ascii="黑体" w:hAnsi="黑体" w:eastAsia="黑体" w:cs="黑体"/>
          <w:b/>
          <w:bCs/>
          <w:color w:val="000000"/>
          <w:sz w:val="32"/>
          <w:szCs w:val="32"/>
          <w:highlight w:val="none"/>
        </w:rPr>
      </w:pPr>
      <w:bookmarkStart w:id="8" w:name="_GoBack"/>
      <w:bookmarkEnd w:id="8"/>
    </w:p>
    <w:p>
      <w:pPr>
        <w:pStyle w:val="4"/>
        <w:bidi w:val="0"/>
        <w:rPr>
          <w:rFonts w:hint="eastAsia"/>
        </w:rPr>
      </w:pPr>
      <w:bookmarkStart w:id="0" w:name="_Toc18101"/>
      <w:bookmarkStart w:id="1" w:name="_Toc28488_WPSOffice_Level2"/>
      <w:bookmarkStart w:id="2" w:name="_Toc17980"/>
      <w:r>
        <w:rPr>
          <w:rFonts w:hint="eastAsia"/>
        </w:rPr>
        <w:t>一、综合评分</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highlight w:val="none"/>
        </w:rPr>
        <w:t>根据项目支出绩效评价的要求，按照项目支出绩效评价指标进行分析，对指标体系进行评分，此次绩效评价的综合得分</w:t>
      </w:r>
      <w:r>
        <w:rPr>
          <w:rFonts w:hint="eastAsia"/>
          <w:highlight w:val="none"/>
          <w:lang w:val="en-US" w:eastAsia="zh-CN"/>
        </w:rPr>
        <w:t>92.56</w:t>
      </w:r>
      <w:r>
        <w:rPr>
          <w:rFonts w:hint="eastAsia"/>
          <w:highlight w:val="none"/>
        </w:rPr>
        <w:t>分，评价等级为</w:t>
      </w:r>
      <w:r>
        <w:rPr>
          <w:rFonts w:hint="eastAsia"/>
          <w:lang w:val="en-US" w:eastAsia="zh-CN"/>
        </w:rPr>
        <w:t>优</w:t>
      </w:r>
      <w:r>
        <w:rPr>
          <w:rFonts w:hint="eastAsia"/>
        </w:rPr>
        <w:t>。</w:t>
      </w:r>
    </w:p>
    <w:tbl>
      <w:tblPr>
        <w:tblStyle w:val="14"/>
        <w:tblW w:w="8700" w:type="dxa"/>
        <w:jc w:val="center"/>
        <w:tblLayout w:type="fixed"/>
        <w:tblCellMar>
          <w:top w:w="0" w:type="dxa"/>
          <w:left w:w="0" w:type="dxa"/>
          <w:bottom w:w="0" w:type="dxa"/>
          <w:right w:w="0" w:type="dxa"/>
        </w:tblCellMar>
      </w:tblPr>
      <w:tblGrid>
        <w:gridCol w:w="1422"/>
        <w:gridCol w:w="1816"/>
        <w:gridCol w:w="1816"/>
        <w:gridCol w:w="1816"/>
        <w:gridCol w:w="1830"/>
      </w:tblGrid>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项目</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标准分数</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评价得分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等级</w:t>
            </w:r>
          </w:p>
        </w:tc>
      </w:tr>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决策</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bidi="ar"/>
              </w:rPr>
            </w:pPr>
            <w:r>
              <w:rPr>
                <w:rFonts w:hint="eastAsia" w:ascii="仿宋" w:hAnsi="仿宋" w:eastAsia="仿宋" w:cs="仿宋"/>
                <w:color w:val="000000"/>
                <w:kern w:val="0"/>
                <w:sz w:val="28"/>
                <w:szCs w:val="28"/>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bidi="ar"/>
              </w:rPr>
            </w:pPr>
            <w:r>
              <w:rPr>
                <w:rFonts w:hint="eastAsia" w:cs="仿宋"/>
                <w:color w:val="000000"/>
                <w:kern w:val="0"/>
                <w:sz w:val="28"/>
                <w:szCs w:val="28"/>
                <w:lang w:val="en-US" w:eastAsia="zh-CN" w:bidi="ar"/>
              </w:rPr>
              <w:t>20.00</w:t>
            </w:r>
          </w:p>
        </w:tc>
        <w:tc>
          <w:tcPr>
            <w:tcW w:w="183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sz w:val="28"/>
                <w:szCs w:val="28"/>
                <w:lang w:val="en-US" w:eastAsia="zh-CN"/>
              </w:rPr>
            </w:pPr>
            <w:r>
              <w:rPr>
                <w:rFonts w:hint="eastAsia" w:cs="仿宋"/>
                <w:color w:val="000000"/>
                <w:sz w:val="28"/>
                <w:szCs w:val="28"/>
                <w:lang w:val="en-US" w:eastAsia="zh-CN"/>
              </w:rPr>
              <w:t>优</w:t>
            </w:r>
          </w:p>
        </w:tc>
      </w:tr>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过程</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bidi="ar"/>
              </w:rPr>
            </w:pPr>
            <w:r>
              <w:rPr>
                <w:rFonts w:hint="eastAsia" w:ascii="仿宋" w:hAnsi="仿宋" w:eastAsia="仿宋" w:cs="仿宋"/>
                <w:color w:val="000000"/>
                <w:kern w:val="0"/>
                <w:sz w:val="28"/>
                <w:szCs w:val="28"/>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bidi="ar"/>
              </w:rPr>
            </w:pPr>
            <w:r>
              <w:rPr>
                <w:rFonts w:hint="eastAsia" w:ascii="仿宋" w:hAnsi="仿宋" w:eastAsia="仿宋" w:cs="仿宋"/>
                <w:color w:val="000000"/>
                <w:kern w:val="0"/>
                <w:sz w:val="28"/>
                <w:szCs w:val="28"/>
                <w:lang w:val="en-US" w:eastAsia="zh-CN" w:bidi="ar"/>
              </w:rPr>
              <w:t>1</w:t>
            </w:r>
            <w:r>
              <w:rPr>
                <w:rFonts w:hint="eastAsia" w:cs="仿宋"/>
                <w:color w:val="000000"/>
                <w:kern w:val="0"/>
                <w:sz w:val="28"/>
                <w:szCs w:val="28"/>
                <w:lang w:val="en-US" w:eastAsia="zh-CN" w:bidi="ar"/>
              </w:rPr>
              <w:t>9.00</w:t>
            </w:r>
          </w:p>
        </w:tc>
        <w:tc>
          <w:tcPr>
            <w:tcW w:w="183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产出</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30</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eastAsia="zh-CN" w:bidi="ar"/>
              </w:rPr>
            </w:pPr>
            <w:r>
              <w:rPr>
                <w:rFonts w:hint="eastAsia" w:cs="仿宋"/>
                <w:color w:val="000000"/>
                <w:kern w:val="0"/>
                <w:sz w:val="28"/>
                <w:szCs w:val="28"/>
                <w:lang w:val="en-US" w:eastAsia="zh-CN" w:bidi="ar"/>
              </w:rPr>
              <w:t>29.00</w:t>
            </w:r>
          </w:p>
        </w:tc>
        <w:tc>
          <w:tcPr>
            <w:tcW w:w="183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效益</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30</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eastAsia="zh-CN" w:bidi="ar"/>
              </w:rPr>
            </w:pPr>
            <w:r>
              <w:rPr>
                <w:rFonts w:hint="eastAsia" w:cs="仿宋"/>
                <w:color w:val="000000"/>
                <w:kern w:val="0"/>
                <w:sz w:val="28"/>
                <w:szCs w:val="28"/>
                <w:lang w:val="en-US" w:eastAsia="zh-CN" w:bidi="ar"/>
              </w:rPr>
              <w:t>24.56</w:t>
            </w:r>
          </w:p>
        </w:tc>
        <w:tc>
          <w:tcPr>
            <w:tcW w:w="183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567" w:hRule="atLeast"/>
          <w:jc w:val="center"/>
        </w:trPr>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合计</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100</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default" w:ascii="仿宋" w:hAnsi="仿宋" w:eastAsia="仿宋" w:cs="仿宋"/>
                <w:color w:val="000000"/>
                <w:kern w:val="0"/>
                <w:sz w:val="28"/>
                <w:szCs w:val="28"/>
                <w:lang w:val="en-US" w:eastAsia="zh-CN" w:bidi="ar"/>
              </w:rPr>
            </w:pPr>
            <w:r>
              <w:rPr>
                <w:rFonts w:hint="eastAsia" w:cs="仿宋"/>
                <w:color w:val="000000"/>
                <w:kern w:val="0"/>
                <w:sz w:val="28"/>
                <w:szCs w:val="28"/>
                <w:lang w:val="en-US" w:eastAsia="zh-CN" w:bidi="ar"/>
              </w:rPr>
              <w:t>92.56</w:t>
            </w:r>
          </w:p>
        </w:tc>
        <w:tc>
          <w:tcPr>
            <w:tcW w:w="183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ottom"/>
              <w:rPr>
                <w:rFonts w:hint="eastAsia" w:ascii="仿宋" w:hAnsi="仿宋" w:eastAsia="仿宋" w:cs="仿宋"/>
                <w:color w:val="000000"/>
                <w:sz w:val="28"/>
                <w:szCs w:val="28"/>
              </w:rPr>
            </w:pPr>
          </w:p>
        </w:tc>
      </w:tr>
    </w:tbl>
    <w:p>
      <w:pPr>
        <w:pStyle w:val="4"/>
        <w:bidi w:val="0"/>
        <w:rPr>
          <w:rFonts w:hint="default"/>
          <w:lang w:val="en-US" w:eastAsia="zh-CN"/>
        </w:rPr>
      </w:pPr>
      <w:bookmarkStart w:id="3" w:name="_Toc22723"/>
      <w:r>
        <w:rPr>
          <w:rFonts w:hint="eastAsia"/>
        </w:rPr>
        <w:t>二、项目绩效完成情况分析</w:t>
      </w:r>
      <w:bookmarkEnd w:id="3"/>
      <w:r>
        <w:rPr>
          <w:rFonts w:hint="eastAsia"/>
          <w:lang w:val="en-US" w:eastAsia="zh-CN"/>
        </w:rPr>
        <w:t xml:space="preserve">  </w:t>
      </w:r>
    </w:p>
    <w:p>
      <w:pPr>
        <w:rPr>
          <w:rFonts w:hint="eastAsia"/>
          <w:b/>
          <w:bCs/>
          <w:lang w:val="en-US" w:eastAsia="zh-CN"/>
        </w:rPr>
      </w:pPr>
      <w:bookmarkStart w:id="4" w:name="_Toc28709_WPSOffice_Level2"/>
      <w:bookmarkStart w:id="5" w:name="_Toc24582"/>
      <w:r>
        <w:rPr>
          <w:rFonts w:hint="eastAsia"/>
          <w:b/>
          <w:bCs/>
          <w:lang w:val="en-US" w:eastAsia="zh-CN"/>
        </w:rPr>
        <w:t>1.项目决策方面。</w:t>
      </w:r>
    </w:p>
    <w:p>
      <w:pPr>
        <w:rPr>
          <w:rFonts w:hint="default"/>
          <w:color w:val="auto"/>
          <w:lang w:val="en-US" w:eastAsia="zh-CN"/>
        </w:rPr>
      </w:pPr>
      <w:r>
        <w:rPr>
          <w:rFonts w:hint="default"/>
          <w:lang w:val="en-US" w:eastAsia="zh-CN"/>
        </w:rPr>
        <w:t>咸安</w:t>
      </w:r>
      <w:r>
        <w:rPr>
          <w:rFonts w:hint="default" w:cs="Calibri"/>
          <w:color w:val="auto"/>
          <w:kern w:val="2"/>
          <w:sz w:val="32"/>
          <w:szCs w:val="21"/>
          <w:highlight w:val="none"/>
          <w:lang w:val="en-US" w:eastAsia="zh-CN" w:bidi="ar-SA"/>
        </w:rPr>
        <w:t>区中央农业转移支付2024年农业生产救灾资金</w:t>
      </w:r>
      <w:r>
        <w:rPr>
          <w:rFonts w:hint="eastAsia" w:cs="Calibri"/>
          <w:color w:val="auto"/>
          <w:kern w:val="2"/>
          <w:sz w:val="32"/>
          <w:szCs w:val="21"/>
          <w:highlight w:val="none"/>
          <w:lang w:val="en-US" w:eastAsia="zh-CN" w:bidi="ar-SA"/>
        </w:rPr>
        <w:t>（</w:t>
      </w:r>
      <w:r>
        <w:rPr>
          <w:rFonts w:hint="default" w:cs="Calibri"/>
          <w:color w:val="auto"/>
          <w:kern w:val="2"/>
          <w:sz w:val="32"/>
          <w:szCs w:val="21"/>
          <w:highlight w:val="none"/>
          <w:lang w:val="en-US" w:eastAsia="zh-CN" w:bidi="ar-SA"/>
        </w:rPr>
        <w:t>雨雪冰冻</w:t>
      </w:r>
      <w:r>
        <w:rPr>
          <w:rFonts w:hint="eastAsia" w:cs="Calibri"/>
          <w:color w:val="auto"/>
          <w:kern w:val="2"/>
          <w:sz w:val="32"/>
          <w:szCs w:val="21"/>
          <w:highlight w:val="none"/>
          <w:lang w:val="en-US" w:eastAsia="zh-CN" w:bidi="ar-SA"/>
        </w:rPr>
        <w:t>）项目和2024年养殖环节病死畜禽无害化处理补助项目均</w:t>
      </w:r>
      <w:r>
        <w:rPr>
          <w:rFonts w:hint="default" w:cs="Calibri"/>
          <w:color w:val="auto"/>
          <w:kern w:val="2"/>
          <w:sz w:val="32"/>
          <w:szCs w:val="21"/>
          <w:highlight w:val="none"/>
          <w:lang w:val="en-US" w:eastAsia="zh-CN" w:bidi="ar-SA"/>
        </w:rPr>
        <w:t>属于年度常规性工作，无独立立项流程，以周期性延续方式开展。</w:t>
      </w:r>
      <w:r>
        <w:rPr>
          <w:rFonts w:hint="eastAsia"/>
          <w:highlight w:val="none"/>
          <w:lang w:val="en-US" w:eastAsia="zh-CN"/>
        </w:rPr>
        <w:t>咸安区中央农业转移支付动物防疫补助项目</w:t>
      </w:r>
      <w:r>
        <w:rPr>
          <w:rFonts w:hint="default"/>
          <w:lang w:val="en-US" w:eastAsia="zh-CN"/>
        </w:rPr>
        <w:t>制定了《关于落实咸安区2024年春季重大动物疫病防控工作的通知》</w:t>
      </w:r>
      <w:r>
        <w:rPr>
          <w:rFonts w:hint="eastAsia"/>
          <w:lang w:val="en-US" w:eastAsia="zh-CN"/>
        </w:rPr>
        <w:t>（</w:t>
      </w:r>
      <w:r>
        <w:rPr>
          <w:rFonts w:hint="default"/>
          <w:lang w:val="en-US" w:eastAsia="zh-CN"/>
        </w:rPr>
        <w:t>咸安防指办发〔</w:t>
      </w:r>
      <w:r>
        <w:rPr>
          <w:rFonts w:hint="eastAsia"/>
          <w:lang w:val="en-US" w:eastAsia="zh-CN"/>
        </w:rPr>
        <w:t>2024</w:t>
      </w:r>
      <w:r>
        <w:rPr>
          <w:rFonts w:hint="default"/>
          <w:lang w:val="en-US" w:eastAsia="zh-CN"/>
        </w:rPr>
        <w:t>〕2号</w:t>
      </w:r>
      <w:r>
        <w:rPr>
          <w:rFonts w:hint="eastAsia"/>
          <w:lang w:val="en-US" w:eastAsia="zh-CN"/>
        </w:rPr>
        <w:t>）</w:t>
      </w:r>
      <w:r>
        <w:rPr>
          <w:rFonts w:hint="default"/>
          <w:lang w:val="en-US" w:eastAsia="zh-CN"/>
        </w:rPr>
        <w:t>、《关于落实咸安区2024年秋季重大动物疫病防控工作的通知》</w:t>
      </w:r>
      <w:r>
        <w:rPr>
          <w:rFonts w:hint="eastAsia"/>
          <w:lang w:val="en-US" w:eastAsia="zh-CN"/>
        </w:rPr>
        <w:t>。均设立绩效目标，且指标明确。</w:t>
      </w:r>
      <w:r>
        <w:rPr>
          <w:rFonts w:hint="eastAsia"/>
        </w:rPr>
        <w:t>预算内容与项目内容相匹配，预算额度测算依据充分，按照标准编制，预算确定的项目投资额与工</w:t>
      </w:r>
      <w:r>
        <w:rPr>
          <w:rFonts w:hint="eastAsia"/>
          <w:lang w:val="en-US" w:eastAsia="zh-CN"/>
        </w:rPr>
        <w:t>作任务相匹配。2024年养殖环节病死畜禽无害化处理补助项目按照申报的</w:t>
      </w:r>
      <w:r>
        <w:rPr>
          <w:rFonts w:hint="eastAsia"/>
          <w:color w:val="auto"/>
          <w:lang w:val="en-US" w:eastAsia="zh-CN"/>
        </w:rPr>
        <w:t>2023年3月1日—2023年10月31日共收集处理35647头病死猪，下达资金2,495,290.00元，按照中央财政补贴50元/头，省财政补贴20元/头分配资金。</w:t>
      </w:r>
      <w:r>
        <w:rPr>
          <w:rFonts w:hint="default"/>
          <w:color w:val="auto"/>
          <w:lang w:val="en-US" w:eastAsia="zh-CN"/>
        </w:rPr>
        <w:t>咸安区中央农业转移支付2024年农业生产救灾资金</w:t>
      </w:r>
      <w:r>
        <w:rPr>
          <w:rFonts w:hint="eastAsia"/>
          <w:color w:val="auto"/>
          <w:lang w:val="en-US" w:eastAsia="zh-CN"/>
        </w:rPr>
        <w:t>（</w:t>
      </w:r>
      <w:r>
        <w:rPr>
          <w:rFonts w:hint="default"/>
          <w:color w:val="auto"/>
          <w:lang w:val="en-US" w:eastAsia="zh-CN"/>
        </w:rPr>
        <w:t>雨雪冰冻</w:t>
      </w:r>
      <w:r>
        <w:rPr>
          <w:rFonts w:hint="eastAsia"/>
          <w:color w:val="auto"/>
          <w:lang w:val="en-US" w:eastAsia="zh-CN"/>
        </w:rPr>
        <w:t>）项目根据实际情况，统筹考虑、集中使用，未制定明确细化的分配计划。针对咸安区中央农业转移支付动物防疫补助项目，制定了《咸安区2024年动物防疫等专项经费使用计划》。</w:t>
      </w:r>
    </w:p>
    <w:p>
      <w:pPr>
        <w:rPr>
          <w:rFonts w:hint="eastAsia"/>
          <w:b/>
          <w:bCs/>
          <w:color w:val="auto"/>
          <w:lang w:val="en-US" w:eastAsia="zh-CN"/>
        </w:rPr>
      </w:pPr>
      <w:r>
        <w:rPr>
          <w:rFonts w:hint="eastAsia"/>
          <w:b/>
          <w:bCs/>
          <w:color w:val="auto"/>
          <w:lang w:val="en-US" w:eastAsia="zh-CN"/>
        </w:rPr>
        <w:t>2.项目过程方面。</w:t>
      </w:r>
    </w:p>
    <w:p>
      <w:pPr>
        <w:rPr>
          <w:rFonts w:hint="eastAsia" w:cs="Calibri"/>
          <w:color w:val="auto"/>
          <w:kern w:val="2"/>
          <w:sz w:val="32"/>
          <w:szCs w:val="21"/>
          <w:lang w:val="en-US" w:eastAsia="zh-CN" w:bidi="ar-SA"/>
        </w:rPr>
      </w:pPr>
      <w:r>
        <w:rPr>
          <w:rFonts w:hint="default" w:ascii="仿宋" w:hAnsi="仿宋" w:eastAsia="仿宋" w:cs="Calibri"/>
          <w:color w:val="auto"/>
          <w:kern w:val="2"/>
          <w:sz w:val="32"/>
          <w:szCs w:val="21"/>
          <w:lang w:val="en-US" w:eastAsia="zh-CN" w:bidi="ar-SA"/>
        </w:rPr>
        <w:t>资金到位率</w:t>
      </w:r>
      <w:r>
        <w:rPr>
          <w:rFonts w:hint="eastAsia" w:cs="Calibri"/>
          <w:color w:val="auto"/>
          <w:kern w:val="2"/>
          <w:sz w:val="32"/>
          <w:szCs w:val="21"/>
          <w:lang w:val="en-US" w:eastAsia="zh-CN" w:bidi="ar-SA"/>
        </w:rPr>
        <w:t>100%。</w:t>
      </w:r>
      <w:r>
        <w:rPr>
          <w:rFonts w:hint="default" w:ascii="仿宋" w:hAnsi="仿宋" w:eastAsia="仿宋" w:cs="仿宋"/>
          <w:color w:val="auto"/>
          <w:kern w:val="2"/>
          <w:sz w:val="32"/>
          <w:szCs w:val="32"/>
          <w:lang w:val="en-US" w:eastAsia="zh-CN" w:bidi="ar-SA"/>
        </w:rPr>
        <w:t>咸安区中央农业转移支付2024年农业生产救灾资金</w:t>
      </w:r>
      <w:r>
        <w:rPr>
          <w:rFonts w:hint="eastAsia"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雨雪冰冻</w:t>
      </w:r>
      <w:r>
        <w:rPr>
          <w:rFonts w:hint="eastAsia" w:cs="仿宋"/>
          <w:color w:val="auto"/>
          <w:kern w:val="2"/>
          <w:sz w:val="32"/>
          <w:szCs w:val="32"/>
          <w:lang w:val="en-US" w:eastAsia="zh-CN" w:bidi="ar-SA"/>
        </w:rPr>
        <w:t>）项目、2</w:t>
      </w:r>
      <w:r>
        <w:rPr>
          <w:rFonts w:hint="eastAsia"/>
          <w:color w:val="auto"/>
          <w:lang w:val="en-US" w:eastAsia="zh-CN"/>
        </w:rPr>
        <w:t>024年养殖环节病死畜禽无害化处理补助项目预算执行率</w:t>
      </w:r>
      <w:r>
        <w:rPr>
          <w:rFonts w:hint="eastAsia" w:cs="Calibri"/>
          <w:color w:val="auto"/>
          <w:kern w:val="2"/>
          <w:sz w:val="32"/>
          <w:szCs w:val="21"/>
          <w:lang w:val="en-US" w:eastAsia="zh-CN" w:bidi="ar-SA"/>
        </w:rPr>
        <w:t>100%，</w:t>
      </w:r>
      <w:r>
        <w:rPr>
          <w:rFonts w:hint="eastAsia"/>
          <w:color w:val="auto"/>
          <w:lang w:val="en-US" w:eastAsia="zh-CN"/>
        </w:rPr>
        <w:t>咸安区中央农业转移支付动物防疫补助项目预算执行率</w:t>
      </w:r>
      <w:r>
        <w:rPr>
          <w:rFonts w:hint="eastAsia" w:cs="Calibri"/>
          <w:color w:val="auto"/>
          <w:kern w:val="2"/>
          <w:sz w:val="32"/>
          <w:szCs w:val="21"/>
          <w:lang w:val="en-US" w:eastAsia="zh-CN" w:bidi="ar-SA"/>
        </w:rPr>
        <w:t>98.35%。均采用国库集中支付方式。基本贯彻</w:t>
      </w:r>
      <w:r>
        <w:rPr>
          <w:rFonts w:hint="eastAsia"/>
          <w:color w:val="auto"/>
          <w:lang w:val="en-US" w:eastAsia="zh-CN"/>
        </w:rPr>
        <w:t>执行《财务管理制度》《病死猪无害化处理收集监管制度》《湖北省动物防</w:t>
      </w:r>
      <w:r>
        <w:rPr>
          <w:rFonts w:hint="eastAsia" w:cs="Calibri"/>
          <w:color w:val="auto"/>
          <w:kern w:val="2"/>
          <w:sz w:val="32"/>
          <w:szCs w:val="21"/>
          <w:lang w:val="en-US" w:eastAsia="zh-CN" w:bidi="ar-SA"/>
        </w:rPr>
        <w:t>疫等补助经费管理实施细则》（鄂财农规〔2017〕24号）《咸安区农业农村局招投标和政府采购实施方案》。</w:t>
      </w:r>
    </w:p>
    <w:p>
      <w:pPr>
        <w:numPr>
          <w:ilvl w:val="0"/>
          <w:numId w:val="0"/>
        </w:numPr>
        <w:ind w:firstLine="642" w:firstLineChars="200"/>
        <w:rPr>
          <w:rFonts w:hint="eastAsia" w:ascii="仿宋" w:hAnsi="仿宋" w:eastAsia="仿宋" w:cs="Calibri"/>
          <w:b/>
          <w:bCs/>
          <w:color w:val="auto"/>
          <w:kern w:val="2"/>
          <w:sz w:val="32"/>
          <w:szCs w:val="21"/>
          <w:lang w:val="en-US" w:eastAsia="zh-CN" w:bidi="ar-SA"/>
        </w:rPr>
      </w:pPr>
      <w:r>
        <w:rPr>
          <w:rFonts w:hint="eastAsia" w:ascii="仿宋" w:hAnsi="仿宋" w:eastAsia="仿宋" w:cs="Calibri"/>
          <w:b/>
          <w:bCs/>
          <w:color w:val="auto"/>
          <w:kern w:val="2"/>
          <w:sz w:val="32"/>
          <w:szCs w:val="21"/>
          <w:lang w:val="en-US" w:eastAsia="zh-CN" w:bidi="ar-SA"/>
        </w:rPr>
        <w:t>3.项目产出方面。</w:t>
      </w:r>
    </w:p>
    <w:p>
      <w:pPr>
        <w:rPr>
          <w:rFonts w:hint="eastAsia"/>
          <w:color w:val="auto"/>
          <w:lang w:val="en-US" w:eastAsia="zh-CN"/>
        </w:rPr>
      </w:pPr>
      <w:r>
        <w:rPr>
          <w:rFonts w:hint="eastAsia"/>
          <w:color w:val="auto"/>
          <w:lang w:val="en-US" w:eastAsia="zh-CN"/>
        </w:rPr>
        <w:t>2024年农业生产救灾资金（雨雪冰冻）项目</w:t>
      </w:r>
      <w:r>
        <w:rPr>
          <w:rFonts w:hint="eastAsia" w:cs="Calibri"/>
          <w:color w:val="auto"/>
          <w:kern w:val="2"/>
          <w:sz w:val="32"/>
          <w:szCs w:val="21"/>
          <w:lang w:val="en-US" w:eastAsia="zh-CN" w:bidi="ar-SA"/>
        </w:rPr>
        <w:t>设置5个蔬菜集约化应急育苗点，总育苗数250万株，针对受灾区采用无人机飞撒肥料，组织防汛抗旱，</w:t>
      </w:r>
      <w:r>
        <w:rPr>
          <w:rFonts w:hint="eastAsia"/>
          <w:color w:val="auto"/>
          <w:lang w:val="en-US" w:eastAsia="zh-CN"/>
        </w:rPr>
        <w:t>辐射带动完成抗灾救灾面积13.44万亩以上。帮助受灾农场复产78个，其中拨付灾后重建资金至受灾程度较重、恢复难度较大的主体3个，技术指导自行复产主体75个。拨付农业生产救灾资金主体20个。购买投放鱼苗5万尾。较预算投资成本节约1.15%。</w:t>
      </w:r>
    </w:p>
    <w:p>
      <w:pPr>
        <w:rPr>
          <w:rFonts w:hint="default"/>
          <w:color w:val="auto"/>
          <w:lang w:val="en-US" w:eastAsia="zh-CN"/>
        </w:rPr>
      </w:pPr>
      <w:r>
        <w:rPr>
          <w:rFonts w:hint="eastAsia"/>
          <w:color w:val="auto"/>
          <w:lang w:val="en-US" w:eastAsia="zh-CN"/>
        </w:rPr>
        <w:t>2024年养殖环节病死畜禽无害化处理补助项目，2023年3月1日至2023年10月31日，死猪无害化收集生猪规模养殖场覆盖率100%，散养户因流动性强、不进行申报等因素覆盖率为95%，收集速度均在12～24小时之内，病死猪收集处理35,647头，处理率100%。未超出预算投资，成本节约0%。</w:t>
      </w:r>
    </w:p>
    <w:p>
      <w:pPr>
        <w:rPr>
          <w:rFonts w:hint="default"/>
          <w:color w:val="auto"/>
          <w:lang w:val="en-US" w:eastAsia="zh-CN"/>
        </w:rPr>
      </w:pPr>
      <w:r>
        <w:rPr>
          <w:rFonts w:hint="eastAsia"/>
          <w:color w:val="auto"/>
          <w:lang w:val="en-US" w:eastAsia="zh-CN"/>
        </w:rPr>
        <w:t>咸安区中央农业转移支付动物防疫补助项目强制免疫病中应免畜禽的免疫度100%。</w:t>
      </w:r>
      <w:r>
        <w:rPr>
          <w:rFonts w:hint="eastAsia"/>
          <w:lang w:val="en-US" w:eastAsia="zh-CN"/>
        </w:rPr>
        <w:t>全区累计注射禽流感疫苗3,320.50万羽、牲畜口蹄疫疫苗 60.13 万头、猪瘟疫苗 57.89 万头、羊小反刍兽疫疫苗1.47 万头。</w:t>
      </w:r>
      <w:r>
        <w:rPr>
          <w:rFonts w:hint="eastAsia"/>
          <w:color w:val="auto"/>
          <w:lang w:val="en-US" w:eastAsia="zh-CN"/>
        </w:rPr>
        <w:t>开展布鲁氏菌病检测9572份，覆盖率达100%。普查血吸虫监测量2316份，均未检测出血吸虫。补贴经费利用率100%。2024年咸安区全区无重大动物疫情。（除布病外其他病种的平均免疫抗体合格率）抗体检测合格率为92.67%。较预算投资成本节约1.54%。</w:t>
      </w:r>
    </w:p>
    <w:p>
      <w:pPr>
        <w:numPr>
          <w:ilvl w:val="0"/>
          <w:numId w:val="0"/>
        </w:numPr>
        <w:bidi w:val="0"/>
        <w:ind w:firstLine="642" w:firstLineChars="200"/>
        <w:rPr>
          <w:rFonts w:hint="default"/>
          <w:color w:val="auto"/>
          <w:lang w:val="en-US" w:eastAsia="zh-CN"/>
        </w:rPr>
      </w:pPr>
      <w:r>
        <w:rPr>
          <w:rFonts w:hint="eastAsia"/>
          <w:b/>
          <w:bCs/>
          <w:color w:val="auto"/>
          <w:lang w:val="en-US" w:eastAsia="zh-CN"/>
        </w:rPr>
        <w:t>4.项目效益方面。</w:t>
      </w:r>
      <w:r>
        <w:rPr>
          <w:rFonts w:hint="eastAsia"/>
          <w:color w:val="auto"/>
          <w:lang w:val="en-US" w:eastAsia="zh-CN"/>
        </w:rPr>
        <w:t>项目综合满意度96.67%。</w:t>
      </w:r>
    </w:p>
    <w:p>
      <w:pPr>
        <w:numPr>
          <w:ilvl w:val="0"/>
          <w:numId w:val="0"/>
        </w:numPr>
        <w:bidi w:val="0"/>
        <w:ind w:firstLine="640" w:firstLineChars="200"/>
        <w:rPr>
          <w:rFonts w:hint="eastAsia" w:cs="仿宋"/>
          <w:color w:val="000000"/>
          <w:sz w:val="32"/>
          <w:szCs w:val="32"/>
          <w:highlight w:val="none"/>
          <w:lang w:val="en-US" w:eastAsia="zh-CN"/>
        </w:rPr>
      </w:pPr>
      <w:r>
        <w:rPr>
          <w:rFonts w:hint="eastAsia"/>
          <w:color w:val="auto"/>
          <w:lang w:val="en-US" w:eastAsia="zh-CN"/>
        </w:rPr>
        <w:t>2024年农业生产救灾资金（雨雪冰冻）项目</w:t>
      </w:r>
      <w:r>
        <w:rPr>
          <w:rFonts w:hint="eastAsia" w:cs="Calibri"/>
          <w:color w:val="auto"/>
          <w:kern w:val="2"/>
          <w:sz w:val="32"/>
          <w:szCs w:val="21"/>
          <w:lang w:val="en-US" w:eastAsia="zh-CN" w:bidi="ar-SA"/>
        </w:rPr>
        <w:t>受灾地区农业生产经济效益明显减少灾害损失100%。雨雪冰冻灾区农牧渔生产秩序基本恢复。稳定了受灾区内农民生产积极性</w:t>
      </w:r>
      <w:r>
        <w:rPr>
          <w:rFonts w:hint="eastAsia" w:cs="仿宋"/>
          <w:color w:val="000000"/>
          <w:sz w:val="32"/>
          <w:szCs w:val="32"/>
          <w:highlight w:val="none"/>
          <w:lang w:val="en-US" w:eastAsia="zh-CN"/>
        </w:rPr>
        <w:t>。</w:t>
      </w:r>
    </w:p>
    <w:p>
      <w:pPr>
        <w:numPr>
          <w:ilvl w:val="0"/>
          <w:numId w:val="0"/>
        </w:numPr>
        <w:bidi w:val="0"/>
        <w:ind w:firstLine="640" w:firstLineChars="200"/>
        <w:rPr>
          <w:rFonts w:hint="eastAsia"/>
          <w:color w:val="auto"/>
          <w:lang w:val="en-US" w:eastAsia="zh-CN"/>
        </w:rPr>
      </w:pPr>
      <w:r>
        <w:rPr>
          <w:rFonts w:hint="eastAsia"/>
          <w:color w:val="auto"/>
          <w:lang w:val="en-US" w:eastAsia="zh-CN"/>
        </w:rPr>
        <w:t>2024年养殖环节病死畜禽无害化处理补助项目</w:t>
      </w:r>
      <w:r>
        <w:rPr>
          <w:rFonts w:hint="eastAsia" w:cs="Calibri"/>
          <w:color w:val="auto"/>
          <w:kern w:val="2"/>
          <w:sz w:val="32"/>
          <w:szCs w:val="21"/>
          <w:lang w:val="en-US" w:eastAsia="zh-CN" w:bidi="ar-SA"/>
        </w:rPr>
        <w:t>有效降低禽畜发病率和死亡率，带动农民增收、提高禽畜产品产量。改善病死动物弃置于公共场所或就地掩埋现象，</w:t>
      </w:r>
      <w:r>
        <w:rPr>
          <w:rFonts w:hint="default" w:cs="Calibri"/>
          <w:kern w:val="2"/>
          <w:sz w:val="32"/>
          <w:szCs w:val="21"/>
          <w:lang w:val="en-US" w:eastAsia="zh-CN" w:bidi="ar-SA"/>
        </w:rPr>
        <w:t>水域病死动物漂浮事件明显减少</w:t>
      </w:r>
      <w:r>
        <w:rPr>
          <w:rFonts w:hint="eastAsia" w:cs="Calibri"/>
          <w:kern w:val="2"/>
          <w:sz w:val="32"/>
          <w:szCs w:val="21"/>
          <w:lang w:val="en-US" w:eastAsia="zh-CN" w:bidi="ar-SA"/>
        </w:rPr>
        <w:t>，</w:t>
      </w:r>
      <w:r>
        <w:rPr>
          <w:rFonts w:hint="default" w:cs="Calibri"/>
          <w:kern w:val="2"/>
          <w:sz w:val="32"/>
          <w:szCs w:val="21"/>
          <w:lang w:val="en-US" w:eastAsia="zh-CN" w:bidi="ar-SA"/>
        </w:rPr>
        <w:t>养殖环境及生活环境明显改善</w:t>
      </w:r>
      <w:r>
        <w:rPr>
          <w:rFonts w:hint="eastAsia" w:cs="Calibri"/>
          <w:kern w:val="2"/>
          <w:sz w:val="32"/>
          <w:szCs w:val="21"/>
          <w:lang w:val="en-US" w:eastAsia="zh-CN" w:bidi="ar-SA"/>
        </w:rPr>
        <w:t>。</w:t>
      </w:r>
    </w:p>
    <w:p>
      <w:pPr>
        <w:rPr>
          <w:rFonts w:hint="eastAsia" w:cs="Calibri"/>
          <w:kern w:val="2"/>
          <w:sz w:val="32"/>
          <w:szCs w:val="21"/>
          <w:lang w:val="en-US" w:eastAsia="zh-CN" w:bidi="ar-SA"/>
        </w:rPr>
      </w:pPr>
      <w:r>
        <w:rPr>
          <w:rFonts w:hint="eastAsia"/>
          <w:color w:val="auto"/>
          <w:lang w:val="en-US" w:eastAsia="zh-CN"/>
        </w:rPr>
        <w:t>咸安区中央农业转移支付动物防疫补助项目</w:t>
      </w:r>
      <w:r>
        <w:rPr>
          <w:rFonts w:hint="eastAsia" w:cs="Calibri"/>
          <w:kern w:val="2"/>
          <w:sz w:val="32"/>
          <w:szCs w:val="21"/>
          <w:lang w:val="en-US" w:eastAsia="zh-CN" w:bidi="ar-SA"/>
        </w:rPr>
        <w:t>改善食品安全问题、维护公共卫生安全、保障人民群众身体健康，减少病死猪流入市场。针对高致病性禽流感、布病等优先防治病种进行检测普查工作，降低了畜禽发病率和死亡率，有效避免动物疫情发生。</w:t>
      </w:r>
    </w:p>
    <w:p>
      <w:pPr>
        <w:pStyle w:val="4"/>
        <w:bidi w:val="0"/>
        <w:rPr>
          <w:rFonts w:hint="eastAsia"/>
        </w:rPr>
      </w:pPr>
      <w:bookmarkStart w:id="6" w:name="_Toc17594"/>
      <w:r>
        <w:rPr>
          <w:rFonts w:hint="eastAsia"/>
        </w:rPr>
        <w:t>三、存在的主要问题</w:t>
      </w:r>
      <w:bookmarkEnd w:id="4"/>
      <w:bookmarkEnd w:id="5"/>
      <w:bookmarkEnd w:id="6"/>
    </w:p>
    <w:p>
      <w:pPr>
        <w:bidi w:val="0"/>
        <w:rPr>
          <w:rFonts w:hint="eastAsia"/>
          <w:lang w:val="en-US" w:eastAsia="zh-CN"/>
        </w:rPr>
      </w:pPr>
      <w:r>
        <w:rPr>
          <w:rFonts w:hint="eastAsia"/>
          <w:b/>
          <w:bCs/>
          <w:lang w:val="en-US" w:eastAsia="zh-CN"/>
        </w:rPr>
        <w:t>1.预算执行率未完全达标。</w:t>
      </w:r>
      <w:r>
        <w:rPr>
          <w:rFonts w:hint="eastAsia"/>
          <w:lang w:val="en-US" w:eastAsia="zh-CN"/>
        </w:rPr>
        <w:t>咸安区中央农业转移支付动物防疫补助项目实际支出资金3,060,000.00元，应支付金额3,111,200.00元，预算执行率98.35%。</w:t>
      </w:r>
    </w:p>
    <w:p>
      <w:pPr>
        <w:bidi w:val="0"/>
        <w:rPr>
          <w:rFonts w:hint="eastAsia" w:cs="Calibri"/>
          <w:color w:val="auto"/>
          <w:kern w:val="2"/>
          <w:sz w:val="32"/>
          <w:szCs w:val="21"/>
          <w:lang w:val="en-US" w:eastAsia="zh-CN" w:bidi="ar-SA"/>
        </w:rPr>
      </w:pPr>
      <w:r>
        <w:rPr>
          <w:rFonts w:hint="eastAsia"/>
          <w:b/>
          <w:bCs/>
          <w:color w:val="auto"/>
          <w:lang w:val="en-US" w:eastAsia="zh-CN"/>
        </w:rPr>
        <w:t>2.监管机制待加强。</w:t>
      </w:r>
      <w:r>
        <w:rPr>
          <w:rFonts w:hint="eastAsia"/>
          <w:b w:val="0"/>
          <w:bCs w:val="0"/>
          <w:color w:val="auto"/>
          <w:lang w:val="en-US" w:eastAsia="zh-CN"/>
        </w:rPr>
        <w:t>通</w:t>
      </w:r>
      <w:r>
        <w:rPr>
          <w:rFonts w:hint="eastAsia"/>
          <w:b w:val="0"/>
          <w:bCs w:val="0"/>
          <w:lang w:val="en-US" w:eastAsia="zh-CN"/>
        </w:rPr>
        <w:t>过</w:t>
      </w:r>
      <w:r>
        <w:rPr>
          <w:rFonts w:hint="eastAsia"/>
          <w:lang w:val="en-US" w:eastAsia="zh-CN"/>
        </w:rPr>
        <w:t>实地考察和发放调查问卷，咸安区中央农业转移支</w:t>
      </w:r>
      <w:r>
        <w:rPr>
          <w:rFonts w:hint="eastAsia" w:cs="Calibri"/>
          <w:b w:val="0"/>
          <w:bCs w:val="0"/>
          <w:color w:val="auto"/>
          <w:kern w:val="2"/>
          <w:sz w:val="32"/>
          <w:szCs w:val="21"/>
          <w:lang w:val="en-US" w:eastAsia="zh-CN" w:bidi="ar-SA"/>
        </w:rPr>
        <w:t>付2024年农业生产救灾资金(雨雪冰冻)项</w:t>
      </w:r>
      <w:r>
        <w:rPr>
          <w:rFonts w:hint="eastAsia" w:cs="Calibri"/>
          <w:color w:val="auto"/>
          <w:kern w:val="2"/>
          <w:sz w:val="32"/>
          <w:szCs w:val="21"/>
          <w:lang w:val="en-US" w:eastAsia="zh-CN" w:bidi="ar-SA"/>
        </w:rPr>
        <w:t>目受灾主体大部分均已恢复生产，但仍有少部分垮塌厂房未修缮，同时项目资金的覆盖范围仍有提升空间。</w:t>
      </w:r>
    </w:p>
    <w:p>
      <w:pPr>
        <w:rPr>
          <w:rFonts w:hint="default"/>
          <w:color w:val="auto"/>
          <w:lang w:val="en-US" w:eastAsia="zh-CN"/>
        </w:rPr>
      </w:pPr>
      <w:r>
        <w:rPr>
          <w:rFonts w:hint="eastAsia" w:cs="Calibri"/>
          <w:b/>
          <w:bCs/>
          <w:color w:val="auto"/>
          <w:kern w:val="2"/>
          <w:sz w:val="32"/>
          <w:szCs w:val="21"/>
          <w:lang w:val="en-US" w:eastAsia="zh-CN" w:bidi="ar-SA"/>
        </w:rPr>
        <w:t>3</w:t>
      </w:r>
      <w:r>
        <w:rPr>
          <w:rFonts w:hint="eastAsia" w:ascii="仿宋" w:hAnsi="仿宋" w:eastAsia="仿宋" w:cs="Calibri"/>
          <w:b/>
          <w:bCs/>
          <w:color w:val="auto"/>
          <w:kern w:val="2"/>
          <w:sz w:val="32"/>
          <w:szCs w:val="21"/>
          <w:lang w:val="en-US" w:eastAsia="zh-CN" w:bidi="ar-SA"/>
        </w:rPr>
        <w:t>.病死猪无害化</w:t>
      </w:r>
      <w:r>
        <w:rPr>
          <w:rFonts w:hint="eastAsia" w:cs="Calibri"/>
          <w:b/>
          <w:bCs/>
          <w:color w:val="auto"/>
          <w:kern w:val="2"/>
          <w:sz w:val="32"/>
          <w:szCs w:val="21"/>
          <w:lang w:val="en-US" w:eastAsia="zh-CN" w:bidi="ar-SA"/>
        </w:rPr>
        <w:t>处理成效明显但需完善</w:t>
      </w:r>
      <w:r>
        <w:rPr>
          <w:rFonts w:hint="eastAsia" w:ascii="仿宋" w:hAnsi="仿宋" w:eastAsia="仿宋" w:cs="Calibri"/>
          <w:b/>
          <w:bCs/>
          <w:color w:val="auto"/>
          <w:kern w:val="2"/>
          <w:sz w:val="32"/>
          <w:szCs w:val="21"/>
          <w:lang w:val="en-US" w:eastAsia="zh-CN" w:bidi="ar-SA"/>
        </w:rPr>
        <w:t>。</w:t>
      </w:r>
      <w:r>
        <w:rPr>
          <w:rFonts w:hint="eastAsia" w:ascii="仿宋" w:hAnsi="仿宋" w:eastAsia="仿宋" w:cs="Calibri"/>
          <w:color w:val="auto"/>
          <w:kern w:val="2"/>
          <w:sz w:val="32"/>
          <w:szCs w:val="21"/>
          <w:lang w:val="en-US" w:eastAsia="zh-CN" w:bidi="ar-SA"/>
        </w:rPr>
        <w:t>浙江禾和环保科技有限公司对咸安区14个乡镇办场实行病死猪统一收集,其中生猪规模养殖场</w:t>
      </w:r>
      <w:r>
        <w:rPr>
          <w:rFonts w:hint="eastAsia"/>
          <w:color w:val="auto"/>
          <w:lang w:val="en-US" w:eastAsia="zh-CN"/>
        </w:rPr>
        <w:t>已全面纳入收集网络，覆盖率100%，散养户因流动性强、不进行申报等因素覆盖率为95%。在食品安全和畜禽产品质量保障方面，90%的受访者认为成效显著，10%认为虽有改善但仍存在不足。在养殖环境及生态改善方面，90%的受访者认可明显减少环境污染，10%认为仍有提升空间。</w:t>
      </w:r>
    </w:p>
    <w:p>
      <w:pPr>
        <w:pStyle w:val="4"/>
        <w:bidi w:val="0"/>
        <w:rPr>
          <w:rFonts w:hint="eastAsia"/>
        </w:rPr>
      </w:pPr>
      <w:bookmarkStart w:id="7" w:name="_Toc10789"/>
      <w:r>
        <w:rPr>
          <w:rFonts w:hint="eastAsia"/>
        </w:rPr>
        <w:t>四、结果应用建议</w:t>
      </w:r>
      <w:bookmarkEnd w:id="7"/>
    </w:p>
    <w:p>
      <w:pPr>
        <w:bidi w:val="0"/>
        <w:rPr>
          <w:rFonts w:hint="eastAsia"/>
          <w:lang w:val="en-US" w:eastAsia="zh-CN"/>
        </w:rPr>
      </w:pPr>
      <w:r>
        <w:rPr>
          <w:rFonts w:hint="eastAsia" w:ascii="仿宋" w:hAnsi="仿宋" w:eastAsia="仿宋" w:cs="仿宋"/>
          <w:b/>
          <w:bCs/>
          <w:color w:val="000000"/>
          <w:kern w:val="2"/>
          <w:sz w:val="32"/>
          <w:szCs w:val="32"/>
          <w:lang w:val="en-US" w:eastAsia="zh-CN" w:bidi="ar-SA"/>
        </w:rPr>
        <w:t>1.</w:t>
      </w:r>
      <w:r>
        <w:rPr>
          <w:rFonts w:hint="eastAsia"/>
          <w:b/>
          <w:bCs/>
          <w:lang w:val="en-US" w:eastAsia="zh-CN"/>
        </w:rPr>
        <w:t>加强资金管理和监管。</w:t>
      </w:r>
      <w:r>
        <w:rPr>
          <w:rFonts w:hint="eastAsia"/>
          <w:lang w:val="en-US" w:eastAsia="zh-CN"/>
        </w:rPr>
        <w:t>建立完善的资金管理制度是提高资金到位率的基础。通过严格的资金监管，可以有效防止资金被挪用或浪费，确保资金能够按照计划使用。</w:t>
      </w:r>
    </w:p>
    <w:p>
      <w:pPr>
        <w:bidi w:val="0"/>
        <w:rPr>
          <w:rFonts w:hint="eastAsia"/>
          <w:lang w:val="en-US" w:eastAsia="zh-CN"/>
        </w:rPr>
      </w:pPr>
      <w:r>
        <w:rPr>
          <w:rFonts w:hint="eastAsia"/>
          <w:b/>
          <w:bCs/>
          <w:lang w:val="en-US" w:eastAsia="zh-CN"/>
        </w:rPr>
        <w:t>2.对资金使用情况进行审计。</w:t>
      </w:r>
      <w:r>
        <w:rPr>
          <w:rFonts w:hint="eastAsia"/>
          <w:lang w:val="en-US" w:eastAsia="zh-CN"/>
        </w:rPr>
        <w:t>及时发现和解决问题，以保证资金使用的合理性和效率。</w:t>
      </w:r>
    </w:p>
    <w:p>
      <w:pPr>
        <w:bidi w:val="0"/>
        <w:rPr>
          <w:rFonts w:hint="default"/>
          <w:b w:val="0"/>
          <w:bCs w:val="0"/>
          <w:lang w:val="en-US" w:eastAsia="zh-CN"/>
        </w:rPr>
      </w:pPr>
      <w:r>
        <w:rPr>
          <w:rFonts w:hint="eastAsia"/>
          <w:b/>
          <w:bCs/>
          <w:lang w:val="en-US" w:eastAsia="zh-CN"/>
        </w:rPr>
        <w:t>3.加强培训监督，完善记录信息。</w:t>
      </w:r>
      <w:r>
        <w:rPr>
          <w:rFonts w:hint="eastAsia"/>
          <w:b w:val="0"/>
          <w:bCs w:val="0"/>
          <w:lang w:val="en-US" w:eastAsia="zh-CN"/>
        </w:rPr>
        <w:t>对负责无害化处理记录的工作人员进行专项培训，确保其了解规范要求，并严格执行。</w:t>
      </w:r>
      <w:r>
        <w:rPr>
          <w:rFonts w:hint="default"/>
          <w:b w:val="0"/>
          <w:bCs w:val="0"/>
          <w:lang w:val="en-US" w:eastAsia="zh-CN"/>
        </w:rPr>
        <w:t>监督机构应定期核查记录</w:t>
      </w:r>
      <w:r>
        <w:rPr>
          <w:rFonts w:hint="eastAsia"/>
          <w:b w:val="0"/>
          <w:bCs w:val="0"/>
          <w:lang w:val="en-US" w:eastAsia="zh-CN"/>
        </w:rPr>
        <w:t>，在无害化处理接收台账中增加“死亡原因”字段，并要求填写具体原因，确保信息完整。</w:t>
      </w:r>
    </w:p>
    <w:p>
      <w:pPr>
        <w:bidi w:val="0"/>
        <w:rPr>
          <w:rFonts w:hint="eastAsia"/>
          <w:lang w:val="en-US" w:eastAsia="zh-CN"/>
        </w:rPr>
      </w:pPr>
      <w:r>
        <w:rPr>
          <w:rFonts w:hint="eastAsia"/>
          <w:b/>
          <w:bCs/>
          <w:lang w:val="en-US" w:eastAsia="zh-CN"/>
        </w:rPr>
        <w:t>4.加强全过程监管。</w:t>
      </w:r>
      <w:r>
        <w:rPr>
          <w:rFonts w:hint="eastAsia"/>
          <w:lang w:val="en-US" w:eastAsia="zh-CN"/>
        </w:rPr>
        <w:t>对救灾资金使用效果开展“回头看”，项目实施单位应严格对照绩效目标，及时收集整理验收记录、影像资料、受益农户台账等证明材料，确保数据可追溯、可验证。</w:t>
      </w:r>
    </w:p>
    <w:p>
      <w:pPr>
        <w:bidi w:val="0"/>
        <w:rPr>
          <w:rFonts w:hint="default" w:ascii="仿宋" w:hAnsi="仿宋" w:eastAsia="仿宋" w:cs="Calibri"/>
          <w:b w:val="0"/>
          <w:bCs w:val="0"/>
          <w:kern w:val="2"/>
          <w:sz w:val="32"/>
          <w:szCs w:val="21"/>
          <w:lang w:val="en-US" w:eastAsia="zh-CN" w:bidi="ar-SA"/>
        </w:rPr>
      </w:pPr>
      <w:r>
        <w:rPr>
          <w:rFonts w:hint="eastAsia"/>
          <w:b/>
          <w:bCs/>
          <w:lang w:val="en-US" w:eastAsia="zh-CN"/>
        </w:rPr>
        <w:t>5</w:t>
      </w:r>
      <w:r>
        <w:rPr>
          <w:rFonts w:hint="eastAsia" w:ascii="仿宋" w:hAnsi="仿宋" w:eastAsia="仿宋" w:cs="Calibri"/>
          <w:b/>
          <w:bCs/>
          <w:kern w:val="2"/>
          <w:sz w:val="32"/>
          <w:szCs w:val="21"/>
          <w:lang w:val="en-US" w:eastAsia="zh-CN" w:bidi="ar-SA"/>
        </w:rPr>
        <w:t>.</w:t>
      </w:r>
      <w:r>
        <w:rPr>
          <w:rFonts w:hint="eastAsia" w:cs="Calibri"/>
          <w:b/>
          <w:bCs/>
          <w:kern w:val="2"/>
          <w:sz w:val="32"/>
          <w:szCs w:val="21"/>
          <w:lang w:val="en-US" w:eastAsia="zh-CN" w:bidi="ar-SA"/>
        </w:rPr>
        <w:t>排查未覆盖散养户，加强政策宣传，强化监管执法，提高收集率。</w:t>
      </w:r>
      <w:r>
        <w:rPr>
          <w:rFonts w:hint="eastAsia" w:cs="Calibri"/>
          <w:b w:val="0"/>
          <w:bCs w:val="0"/>
          <w:kern w:val="2"/>
          <w:sz w:val="32"/>
          <w:szCs w:val="21"/>
          <w:lang w:val="en-US" w:eastAsia="zh-CN" w:bidi="ar-SA"/>
        </w:rPr>
        <w:t>联合乡镇畜牧站、村委会等，对尚未纳入收集体系的5%散养户进行排查，分析未覆盖原因，通过村级广播、宣传册、微信群等渠道，向散养户普及无害化处理政策和违法处置的法律后果，定期开展执法检查，重点排查偏远乡村、河道、荒地等易丢弃区域。</w:t>
      </w:r>
    </w:p>
    <w:p>
      <w:pPr>
        <w:ind w:left="0" w:leftChars="0" w:firstLine="0" w:firstLineChars="0"/>
        <w:rPr>
          <w:rFonts w:hint="default"/>
          <w:lang w:val="en-US" w:eastAsia="zh-CN"/>
        </w:rPr>
      </w:pPr>
    </w:p>
    <w:sectPr>
      <w:headerReference r:id="rId5" w:type="default"/>
      <w:footerReference r:id="rId6" w:type="default"/>
      <w:pgSz w:w="11906" w:h="16838"/>
      <w:pgMar w:top="2098" w:right="1474" w:bottom="1984" w:left="1587" w:header="851" w:footer="992" w:gutter="0"/>
      <w:pgNumType w:fmt="decimal" w:start="56"/>
      <w:cols w:space="0" w:num="1"/>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GBK">
    <w:altName w:val="方正小标宋简体"/>
    <w:panose1 w:val="00000000000000000000"/>
    <w:charset w:val="86"/>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tabs>
        <w:tab w:val="center" w:pos="4490"/>
        <w:tab w:val="clear" w:pos="4153"/>
      </w:tabs>
      <w:kinsoku/>
      <w:wordWrap/>
      <w:overflowPunct/>
      <w:topLinePunct w:val="0"/>
      <w:bidi w:val="0"/>
      <w:adjustRightInd/>
      <w:snapToGrid w:val="0"/>
      <w:spacing w:line="240" w:lineRule="auto"/>
      <w:ind w:left="0" w:leftChars="0" w:right="360"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4525010</wp:posOffset>
              </wp:positionH>
              <wp:positionV relativeFrom="paragraph">
                <wp:posOffset>0</wp:posOffset>
              </wp:positionV>
              <wp:extent cx="1091565" cy="4381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9156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6.3pt;margin-top:0pt;height:34.5pt;width:85.95pt;mso-position-horizontal-relative:margin;z-index:251659264;mso-width-relative:page;mso-height-relative:page;" filled="f" stroked="f" coordsize="21600,21600" o:gfxdata="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">
              <v:fill on="f" focussize="0,0"/>
              <v:stroke on="f" weight="0.5pt"/>
              <v:imagedata o:title=""/>
              <o:lock v:ext="edit" aspectratio="f"/>
              <v:textbox inset="0mm,0mm,0mm,0mm">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9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06A7"/>
    <w:rsid w:val="02F82CD6"/>
    <w:rsid w:val="03771E7F"/>
    <w:rsid w:val="05641A70"/>
    <w:rsid w:val="0722714F"/>
    <w:rsid w:val="07DF19AD"/>
    <w:rsid w:val="09150170"/>
    <w:rsid w:val="0C4D19CF"/>
    <w:rsid w:val="0CA710DF"/>
    <w:rsid w:val="0F0B3D0B"/>
    <w:rsid w:val="0F223316"/>
    <w:rsid w:val="0F707EAE"/>
    <w:rsid w:val="10022AD1"/>
    <w:rsid w:val="13CE5AEB"/>
    <w:rsid w:val="15082937"/>
    <w:rsid w:val="1626576B"/>
    <w:rsid w:val="16EB0762"/>
    <w:rsid w:val="16F13FCB"/>
    <w:rsid w:val="19704F4F"/>
    <w:rsid w:val="199675F8"/>
    <w:rsid w:val="1A1D1A22"/>
    <w:rsid w:val="1AA34F82"/>
    <w:rsid w:val="1ADE29D6"/>
    <w:rsid w:val="1BE8586A"/>
    <w:rsid w:val="1C2F5B85"/>
    <w:rsid w:val="1DA358F3"/>
    <w:rsid w:val="204051C7"/>
    <w:rsid w:val="22D62815"/>
    <w:rsid w:val="22E06CA1"/>
    <w:rsid w:val="23B63E77"/>
    <w:rsid w:val="252B01C4"/>
    <w:rsid w:val="25626093"/>
    <w:rsid w:val="268838D8"/>
    <w:rsid w:val="269776C0"/>
    <w:rsid w:val="26D11723"/>
    <w:rsid w:val="2742617D"/>
    <w:rsid w:val="278D3024"/>
    <w:rsid w:val="28676A4F"/>
    <w:rsid w:val="287B3DFD"/>
    <w:rsid w:val="29312D24"/>
    <w:rsid w:val="29CB2916"/>
    <w:rsid w:val="2CA41829"/>
    <w:rsid w:val="2CB66D29"/>
    <w:rsid w:val="2E9D7969"/>
    <w:rsid w:val="2F0361F1"/>
    <w:rsid w:val="2F204FF5"/>
    <w:rsid w:val="2FD66979"/>
    <w:rsid w:val="314D5E4A"/>
    <w:rsid w:val="3270532E"/>
    <w:rsid w:val="3296737C"/>
    <w:rsid w:val="33770F5C"/>
    <w:rsid w:val="34C46772"/>
    <w:rsid w:val="35727C2D"/>
    <w:rsid w:val="35B308CA"/>
    <w:rsid w:val="36DA7538"/>
    <w:rsid w:val="393F251C"/>
    <w:rsid w:val="3A9B19D4"/>
    <w:rsid w:val="3B0C643A"/>
    <w:rsid w:val="3CCE7E50"/>
    <w:rsid w:val="3D29776B"/>
    <w:rsid w:val="3D8D7D4F"/>
    <w:rsid w:val="3E5325C6"/>
    <w:rsid w:val="41CE6B33"/>
    <w:rsid w:val="41FF4F3E"/>
    <w:rsid w:val="428E3CD5"/>
    <w:rsid w:val="42D53EF1"/>
    <w:rsid w:val="433101CE"/>
    <w:rsid w:val="44CD0EE8"/>
    <w:rsid w:val="46133E00"/>
    <w:rsid w:val="47C5711C"/>
    <w:rsid w:val="4A394D65"/>
    <w:rsid w:val="4B5D49EC"/>
    <w:rsid w:val="4BC32B39"/>
    <w:rsid w:val="4D9F3131"/>
    <w:rsid w:val="4DCB03CA"/>
    <w:rsid w:val="4E252ACD"/>
    <w:rsid w:val="4E345F70"/>
    <w:rsid w:val="4E347D1E"/>
    <w:rsid w:val="4F5A7C58"/>
    <w:rsid w:val="4FF31631"/>
    <w:rsid w:val="51220301"/>
    <w:rsid w:val="53F1698D"/>
    <w:rsid w:val="55654C60"/>
    <w:rsid w:val="56095F34"/>
    <w:rsid w:val="57DF421E"/>
    <w:rsid w:val="588072AC"/>
    <w:rsid w:val="59ED1B78"/>
    <w:rsid w:val="5A124512"/>
    <w:rsid w:val="5A492DA3"/>
    <w:rsid w:val="5BAC22FE"/>
    <w:rsid w:val="5C6B34A4"/>
    <w:rsid w:val="5D3F66DF"/>
    <w:rsid w:val="5D4D4958"/>
    <w:rsid w:val="5DF64FF0"/>
    <w:rsid w:val="5EAA7513"/>
    <w:rsid w:val="61B551C2"/>
    <w:rsid w:val="62E0001C"/>
    <w:rsid w:val="64283A29"/>
    <w:rsid w:val="646F3406"/>
    <w:rsid w:val="64A16CFE"/>
    <w:rsid w:val="66392C8E"/>
    <w:rsid w:val="664762E9"/>
    <w:rsid w:val="676B07FC"/>
    <w:rsid w:val="69916D3E"/>
    <w:rsid w:val="69D1246D"/>
    <w:rsid w:val="6A470981"/>
    <w:rsid w:val="6BCA186A"/>
    <w:rsid w:val="6C092392"/>
    <w:rsid w:val="6D1C4347"/>
    <w:rsid w:val="6DC84031"/>
    <w:rsid w:val="6F1522E3"/>
    <w:rsid w:val="70D77260"/>
    <w:rsid w:val="70E956C4"/>
    <w:rsid w:val="72723293"/>
    <w:rsid w:val="72B676BE"/>
    <w:rsid w:val="73B04E63"/>
    <w:rsid w:val="76CB75B6"/>
    <w:rsid w:val="77283EB2"/>
    <w:rsid w:val="7E1A726D"/>
    <w:rsid w:val="7E1C6FDF"/>
    <w:rsid w:val="7EAE4DBE"/>
    <w:rsid w:val="7F086945"/>
    <w:rsid w:val="7F2D57F3"/>
    <w:rsid w:val="EBAEBF46"/>
    <w:rsid w:val="FFBE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 w:hAnsi="仿宋" w:eastAsia="仿宋" w:cs="Calibri"/>
      <w:kern w:val="2"/>
      <w:sz w:val="32"/>
      <w:szCs w:val="21"/>
      <w:lang w:val="en-US" w:eastAsia="zh-CN" w:bidi="ar-SA"/>
    </w:rPr>
  </w:style>
  <w:style w:type="paragraph" w:styleId="3">
    <w:name w:val="heading 1"/>
    <w:basedOn w:val="1"/>
    <w:next w:val="1"/>
    <w:link w:val="20"/>
    <w:qFormat/>
    <w:uiPriority w:val="99"/>
    <w:pPr>
      <w:keepNext/>
      <w:keepLines/>
      <w:spacing w:line="360" w:lineRule="auto"/>
      <w:jc w:val="right"/>
      <w:outlineLvl w:val="0"/>
    </w:pPr>
    <w:rPr>
      <w:rFonts w:eastAsia="黑体"/>
      <w:b/>
      <w:bCs/>
      <w:kern w:val="44"/>
      <w:szCs w:val="32"/>
    </w:rPr>
  </w:style>
  <w:style w:type="paragraph" w:styleId="4">
    <w:name w:val="heading 2"/>
    <w:basedOn w:val="1"/>
    <w:next w:val="1"/>
    <w:unhideWhenUsed/>
    <w:qFormat/>
    <w:uiPriority w:val="0"/>
    <w:pPr>
      <w:spacing w:before="-2147483648" w:beforeAutospacing="1" w:afterAutospacing="1" w:line="560" w:lineRule="exact"/>
      <w:ind w:firstLine="640" w:firstLineChars="200"/>
      <w:jc w:val="left"/>
      <w:outlineLvl w:val="1"/>
    </w:pPr>
    <w:rPr>
      <w:rFonts w:hint="eastAsia" w:ascii="宋体" w:hAnsi="宋体" w:eastAsia="黑体" w:cs="宋体"/>
      <w:kern w:val="0"/>
      <w:szCs w:val="36"/>
      <w:lang w:bidi="ar"/>
    </w:rPr>
  </w:style>
  <w:style w:type="paragraph" w:styleId="5">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rFonts w:eastAsia="楷体"/>
    </w:rPr>
  </w:style>
  <w:style w:type="paragraph" w:styleId="6">
    <w:name w:val="heading 4"/>
    <w:basedOn w:val="1"/>
    <w:next w:val="1"/>
    <w:unhideWhenUsed/>
    <w:qFormat/>
    <w:uiPriority w:val="0"/>
    <w:pPr>
      <w:keepNext/>
      <w:keepLines/>
      <w:spacing w:beforeLines="0" w:beforeAutospacing="0" w:afterLines="0" w:afterAutospacing="0" w:line="120" w:lineRule="atLeast"/>
      <w:outlineLvl w:val="3"/>
    </w:pPr>
    <w:rPr>
      <w:rFonts w:ascii="仿宋" w:hAnsi="仿宋"/>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7">
    <w:name w:val="annotation text"/>
    <w:basedOn w:val="1"/>
    <w:qFormat/>
    <w:uiPriority w:val="0"/>
    <w:pPr>
      <w:jc w:val="left"/>
    </w:pPr>
  </w:style>
  <w:style w:type="paragraph" w:styleId="8">
    <w:name w:val="toc 3"/>
    <w:basedOn w:val="1"/>
    <w:next w:val="1"/>
    <w:qFormat/>
    <w:uiPriority w:val="0"/>
    <w:pPr>
      <w:ind w:left="0" w:leftChars="0" w:firstLine="480" w:firstLineChars="15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ind w:firstLine="0" w:firstLineChars="0"/>
    </w:pPr>
  </w:style>
  <w:style w:type="paragraph" w:styleId="12">
    <w:name w:val="toc 2"/>
    <w:basedOn w:val="1"/>
    <w:next w:val="1"/>
    <w:qFormat/>
    <w:uiPriority w:val="0"/>
    <w:pPr>
      <w:ind w:left="0" w:leftChars="0" w:firstLine="320" w:firstLineChars="100"/>
    </w:pPr>
    <w:rPr>
      <w:rFonts w:eastAsia="黑体"/>
    </w:rPr>
  </w:style>
  <w:style w:type="paragraph" w:styleId="13">
    <w:name w:val="Normal (Web)"/>
    <w:basedOn w:val="1"/>
    <w:qFormat/>
    <w:uiPriority w:val="0"/>
    <w:rPr>
      <w:sz w:val="24"/>
    </w:rPr>
  </w:style>
  <w:style w:type="character" w:styleId="16">
    <w:name w:val="Strong"/>
    <w:basedOn w:val="15"/>
    <w:qFormat/>
    <w:uiPriority w:val="0"/>
    <w:rPr>
      <w:b/>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标题 1 Char"/>
    <w:link w:val="3"/>
    <w:qFormat/>
    <w:uiPriority w:val="99"/>
    <w:rPr>
      <w:rFonts w:eastAsia="黑体"/>
      <w:b/>
      <w:bCs/>
      <w:kern w:val="4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421</Words>
  <Characters>462</Characters>
  <Lines>0</Lines>
  <Paragraphs>0</Paragraphs>
  <TotalTime>9</TotalTime>
  <ScaleCrop>false</ScaleCrop>
  <LinksUpToDate>false</LinksUpToDate>
  <CharactersWithSpaces>773</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2025-06-19T18:49:00Z</dcterms:created>
  <dc:creator>Administrator</dc:creator>
  <cp:lastModifiedBy>guest</cp:lastModifiedBy>
  <cp:lastPrinted>2025-08-05T00:24:00Z</cp:lastPrinted>
  <dcterms:modified xsi:type="dcterms:W3CDTF">2025-12-09T14:52:46Z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KSOTemplateDocerSaveRecord">
    <vt:lpwstr>eyJoZGlkIjoiMGIxYzg5ZjliZTFjNTYzZjJhZTIxMmEzYWU0MjkwYTUiLCJ1c2VySWQiOiIxMjg3NzA4Njg3In0=</vt:lpwstr>
  </property>
  <property fmtid="{D5CDD505-2E9C-101B-9397-08002B2CF9AE}" pid="4" name="ICV">
    <vt:lpwstr>53A748FC3C9F400CB2E70C8478D1393E_12</vt:lpwstr>
  </property>
</Properties>
</file>