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GBK" w:hAnsi="宋体" w:eastAsia="方正小标宋GBK" w:cs="宋体"/>
          <w:b/>
          <w:bCs/>
          <w:sz w:val="36"/>
          <w:szCs w:val="36"/>
          <w:lang w:val="en-US" w:eastAsia="zh-CN"/>
        </w:rPr>
      </w:pPr>
      <w:bookmarkStart w:id="0" w:name="_Toc16086"/>
      <w:r>
        <w:rPr>
          <w:rFonts w:hint="eastAsia" w:ascii="方正小标宋GBK" w:hAnsi="宋体" w:eastAsia="方正小标宋GBK" w:cs="宋体"/>
          <w:b/>
          <w:bCs/>
          <w:sz w:val="36"/>
          <w:szCs w:val="36"/>
          <w:lang w:val="en-US" w:eastAsia="zh-CN"/>
        </w:rPr>
        <w:t>2023年省级水利改革发展资金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GBK" w:hAnsi="宋体" w:eastAsia="方正小标宋GBK" w:cs="宋体"/>
          <w:b/>
          <w:sz w:val="52"/>
          <w:szCs w:val="52"/>
        </w:rPr>
      </w:pPr>
      <w:r>
        <w:rPr>
          <w:rFonts w:hint="eastAsia" w:ascii="方正小标宋GBK" w:hAnsi="宋体" w:eastAsia="方正小标宋GBK" w:cs="宋体"/>
          <w:b/>
          <w:bCs/>
          <w:sz w:val="36"/>
          <w:szCs w:val="36"/>
          <w:lang w:val="en-US" w:eastAsia="zh-CN"/>
        </w:rPr>
        <w:t>绩效评价报告</w:t>
      </w:r>
    </w:p>
    <w:p>
      <w:pPr>
        <w:bidi w:val="0"/>
        <w:rPr>
          <w:rFonts w:hint="eastAsia"/>
          <w:lang w:eastAsia="zh-CN"/>
        </w:rPr>
      </w:pPr>
    </w:p>
    <w:bookmarkEnd w:id="0"/>
    <w:p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color w:val="auto"/>
        </w:rPr>
      </w:pPr>
      <w:bookmarkStart w:id="22" w:name="_GoBack"/>
      <w:bookmarkEnd w:id="22"/>
    </w:p>
    <w:p>
      <w:pPr>
        <w:pStyle w:val="3"/>
        <w:bidi w:val="0"/>
        <w:rPr>
          <w:rFonts w:hint="eastAsia"/>
          <w:color w:val="auto"/>
          <w:lang w:eastAsia="zh-CN"/>
        </w:rPr>
      </w:pPr>
      <w:bookmarkStart w:id="1" w:name="_Toc17543"/>
      <w:bookmarkStart w:id="2" w:name="_Toc14897"/>
      <w:bookmarkStart w:id="3" w:name="_Toc28488_WPSOffice_Level2"/>
      <w:bookmarkStart w:id="4" w:name="_Toc6370"/>
      <w:bookmarkStart w:id="5" w:name="_Toc17980"/>
      <w:bookmarkStart w:id="6" w:name="_Toc27675"/>
      <w:bookmarkStart w:id="7" w:name="_Toc28661"/>
      <w:bookmarkStart w:id="8" w:name="_Toc32219"/>
      <w:bookmarkStart w:id="9" w:name="_Toc32500"/>
      <w:r>
        <w:rPr>
          <w:rFonts w:hint="eastAsia"/>
          <w:color w:val="auto"/>
          <w:lang w:eastAsia="zh-CN"/>
        </w:rPr>
        <w:t>一、综合评分</w:t>
      </w:r>
      <w:bookmarkEnd w:id="1"/>
      <w:bookmarkEnd w:id="2"/>
      <w:bookmarkEnd w:id="3"/>
      <w:bookmarkEnd w:id="4"/>
      <w:bookmarkEnd w:id="5"/>
      <w:bookmarkEnd w:id="6"/>
    </w:p>
    <w:p>
      <w:pPr>
        <w:bidi w:val="0"/>
        <w:rPr>
          <w:rFonts w:hint="eastAsia"/>
          <w:highlight w:val="none"/>
        </w:rPr>
      </w:pPr>
      <w:r>
        <w:rPr>
          <w:rFonts w:hint="eastAsia"/>
        </w:rPr>
        <w:t>根据项目支出绩效评价的要求，按照项目支出绩效评价指标进行分析，对指标体系进行评分，此次绩效评价的综合得分</w:t>
      </w:r>
      <w:r>
        <w:rPr>
          <w:rFonts w:hint="eastAsia"/>
          <w:lang w:val="en-US" w:eastAsia="zh-CN"/>
        </w:rPr>
        <w:t>87.00</w:t>
      </w:r>
      <w:r>
        <w:rPr>
          <w:rFonts w:hint="eastAsia"/>
          <w:highlight w:val="none"/>
        </w:rPr>
        <w:t>分，评价等级为</w:t>
      </w:r>
      <w:r>
        <w:rPr>
          <w:rFonts w:hint="eastAsia"/>
          <w:highlight w:val="none"/>
          <w:lang w:val="en-US" w:eastAsia="zh-CN"/>
        </w:rPr>
        <w:t>良</w:t>
      </w:r>
      <w:r>
        <w:rPr>
          <w:rFonts w:hint="eastAsia"/>
          <w:highlight w:val="none"/>
        </w:rPr>
        <w:t>。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68"/>
        <w:gridCol w:w="2339"/>
        <w:gridCol w:w="2058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标准分数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评价得分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决策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20.00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14.00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过程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20.00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产出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30.00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效益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30.00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100.00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rPr>
          <w:rFonts w:hint="eastAsia"/>
          <w:b w:val="0"/>
          <w:bCs w:val="0"/>
          <w:color w:val="auto"/>
          <w:lang w:eastAsia="zh-CN"/>
        </w:rPr>
      </w:pPr>
      <w:bookmarkStart w:id="10" w:name="_Toc21096"/>
      <w:r>
        <w:rPr>
          <w:rFonts w:hint="eastAsia"/>
          <w:b w:val="0"/>
          <w:bCs w:val="0"/>
          <w:color w:val="auto"/>
          <w:lang w:eastAsia="zh-CN"/>
        </w:rPr>
        <w:t>项目绩效完成情况分析</w:t>
      </w:r>
      <w:bookmarkEnd w:id="7"/>
      <w:bookmarkEnd w:id="8"/>
      <w:bookmarkEnd w:id="9"/>
      <w:bookmarkEnd w:id="10"/>
    </w:p>
    <w:p>
      <w:pPr>
        <w:bidi w:val="0"/>
        <w:rPr>
          <w:rFonts w:hint="eastAsia"/>
          <w:lang w:val="en-US" w:eastAsia="zh-CN"/>
        </w:rPr>
      </w:pPr>
      <w:bookmarkStart w:id="11" w:name="_Toc6916"/>
      <w:bookmarkStart w:id="12" w:name="_Toc14663"/>
      <w:r>
        <w:rPr>
          <w:rFonts w:hint="eastAsia"/>
          <w:lang w:val="en-US" w:eastAsia="zh-CN"/>
        </w:rPr>
        <w:t>2024年度省财政厅以鄂财农发〔2023〕57号文下达河湖长制项目资金221万元，淦河母亲河复苏行动项目2023年省级水利改革发展资金3700万元，用于水资源保护－实施母亲河复苏行动。根据区政府《关于加快推进淦河流域综合治理工作专题会议纪要》，资金统筹安排如下：拨付给区水利和湖泊局1000万元用于淦河系统治理工程资金缺口和项目前期费用，221万元用于河湖长制；拨付给咸宁市咸安区经济发展（集团）有限公司2700万元，用于一河两岸项目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1.从项目决策来看。项目决策依据充分，程序规范，预算编制合理、资金分配合规。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eastAsia="仿宋"/>
          <w:lang w:val="en-US" w:eastAsia="zh-CN"/>
        </w:rPr>
      </w:pPr>
      <w:bookmarkStart w:id="13" w:name="_Toc6685_WPSOffice_Level2"/>
      <w:bookmarkStart w:id="14" w:name="_Toc28954"/>
      <w:r>
        <w:rPr>
          <w:rFonts w:hint="eastAsia"/>
          <w:lang w:val="en-US" w:eastAsia="zh-CN"/>
        </w:rPr>
        <w:t>2.项目过程方面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资金到位率100%，预算执行率99.30%。</w:t>
      </w:r>
      <w:r>
        <w:rPr>
          <w:rFonts w:hint="eastAsia"/>
          <w:color w:val="auto"/>
        </w:rPr>
        <w:t>资金的拨付有完整的审批程序和手续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但部分</w:t>
      </w:r>
      <w:r>
        <w:rPr>
          <w:rFonts w:hint="eastAsia"/>
          <w:color w:val="auto"/>
        </w:rPr>
        <w:t>资金使用</w:t>
      </w:r>
      <w:r>
        <w:rPr>
          <w:rFonts w:hint="eastAsia"/>
          <w:color w:val="auto"/>
          <w:lang w:eastAsia="zh-CN"/>
        </w:rPr>
        <w:t>手续不规范。</w:t>
      </w:r>
      <w:r>
        <w:rPr>
          <w:rFonts w:hint="eastAsia"/>
        </w:rPr>
        <w:t>项目单位财务管理良好，项目财务管理制度完整，执行有效，资金拨付符合项目财务制度的规定，</w:t>
      </w:r>
      <w:r>
        <w:rPr>
          <w:rFonts w:hint="eastAsia"/>
          <w:lang w:val="en-US" w:eastAsia="zh-CN"/>
        </w:rPr>
        <w:t>资金实行</w:t>
      </w:r>
      <w:r>
        <w:rPr>
          <w:rFonts w:hint="eastAsia"/>
        </w:rPr>
        <w:t>国库集中支付</w:t>
      </w:r>
      <w:r>
        <w:rPr>
          <w:rFonts w:hint="eastAsia"/>
          <w:lang w:eastAsia="zh-CN"/>
        </w:rPr>
        <w:t>。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资金使用部分存在挪用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制度未有效执行，工程建设资料档案管理部分不完整。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3.项目</w:t>
      </w:r>
      <w:bookmarkEnd w:id="13"/>
      <w:bookmarkEnd w:id="14"/>
      <w:r>
        <w:rPr>
          <w:rFonts w:hint="eastAsia"/>
          <w:lang w:val="en-US" w:eastAsia="zh-CN"/>
        </w:rPr>
        <w:t>产出方面。完成了项目产出，项目质量经验收合格，产出未超预算，产出时间未达到规划要求。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项目效益方面。咸安区淦河系统治理工程的实施，有效减轻了区域自然灾害、改善了区域环境、促进了当地经济社会发展，改善了当地人民生活条件、人居环境等具有重要作用和长远影响，对减轻水患、改善水资源利用状况具有显著作用。通过工程建设，有利于发挥该区域的区位优势，推进经济结构、社会结构和生态环境面貌的转换和现代化建设，维持正常的社会发展和经济的可持续发展，为社会繁荣和谐和现代化建设创造良好环境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640" w:firstLineChars="200"/>
        <w:rPr>
          <w:rFonts w:hint="eastAsia"/>
          <w:b w:val="0"/>
          <w:bCs w:val="0"/>
          <w:color w:val="auto"/>
          <w:lang w:val="en-US" w:eastAsia="zh-CN"/>
        </w:rPr>
      </w:pPr>
      <w:bookmarkStart w:id="15" w:name="_Toc24304"/>
      <w:bookmarkStart w:id="16" w:name="_Toc11246"/>
      <w:r>
        <w:rPr>
          <w:rFonts w:hint="eastAsia"/>
          <w:b w:val="0"/>
          <w:bCs w:val="0"/>
          <w:color w:val="auto"/>
          <w:lang w:val="en-US" w:eastAsia="zh-CN"/>
        </w:rPr>
        <w:t>三、存在的主要问题</w:t>
      </w:r>
      <w:bookmarkEnd w:id="11"/>
      <w:bookmarkEnd w:id="12"/>
      <w:bookmarkEnd w:id="15"/>
      <w:bookmarkEnd w:id="16"/>
    </w:p>
    <w:p>
      <w:pPr>
        <w:bidi w:val="0"/>
        <w:rPr>
          <w:rFonts w:hint="eastAsia"/>
          <w:color w:val="auto"/>
          <w:highlight w:val="none"/>
          <w:lang w:val="en-US" w:eastAsia="zh-CN"/>
        </w:rPr>
      </w:pPr>
      <w:bookmarkStart w:id="17" w:name="_Toc32117"/>
      <w:bookmarkStart w:id="18" w:name="_Toc29056"/>
      <w:bookmarkStart w:id="19" w:name="_Toc18277"/>
      <w:r>
        <w:rPr>
          <w:rFonts w:hint="eastAsia"/>
          <w:color w:val="auto"/>
          <w:highlight w:val="none"/>
          <w:lang w:val="en-US" w:eastAsia="zh-CN"/>
        </w:rPr>
        <w:t>1.项目建设管理责任落实有欠缺。咸宁市咸安区经济发展（集团）有限公司负责淦河母亲河复苏行动项目、一河两岸水环境综合治理工程代建工作，项目管理资料归档不完整。</w:t>
      </w:r>
    </w:p>
    <w:p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2.部分项目资金使用手续不规范。根据区级统筹安排，咸安区水利和湖泊局支付了前期申报川石灌区项目使用资金1,138,350.00元，存在资金使用手续不规范。</w:t>
      </w:r>
    </w:p>
    <w:p>
      <w:pPr>
        <w:bidi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湖北省财政厅文件省财政厅《关于</w:t>
      </w:r>
      <w:r>
        <w:rPr>
          <w:rFonts w:hint="eastAsia"/>
          <w:color w:val="auto"/>
        </w:rPr>
        <w:t>下达2023年省级水利改革发展资金预算（第三批）的通知》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</w:rPr>
        <w:t>鄂财农发〔2023〕57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下达了</w:t>
      </w:r>
      <w:r>
        <w:rPr>
          <w:rFonts w:hint="eastAsia"/>
          <w:lang w:eastAsia="zh-CN"/>
        </w:rPr>
        <w:t>绩效目标表。</w:t>
      </w:r>
      <w:r>
        <w:rPr>
          <w:rFonts w:hint="eastAsia"/>
        </w:rPr>
        <w:t>绩效目标分为</w:t>
      </w:r>
      <w:r>
        <w:rPr>
          <w:rFonts w:hint="eastAsia"/>
          <w:lang w:val="en-US" w:eastAsia="zh-CN"/>
        </w:rPr>
        <w:t>产出指标（</w:t>
      </w:r>
      <w:r>
        <w:rPr>
          <w:rFonts w:hint="eastAsia"/>
        </w:rPr>
        <w:t>数量指标、质量指标、时效指标、成本指标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效益指标、满意度指标。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bookmarkStart w:id="20" w:name="_Toc18122"/>
      <w:bookmarkStart w:id="21" w:name="_Toc29162"/>
      <w:r>
        <w:rPr>
          <w:rFonts w:hint="eastAsia"/>
          <w:b w:val="0"/>
          <w:bCs w:val="0"/>
          <w:color w:val="auto"/>
          <w:lang w:val="en-US" w:eastAsia="zh-CN"/>
        </w:rPr>
        <w:t>四、结果应用建议</w:t>
      </w:r>
      <w:bookmarkEnd w:id="17"/>
      <w:bookmarkEnd w:id="18"/>
      <w:bookmarkEnd w:id="19"/>
      <w:bookmarkEnd w:id="20"/>
      <w:bookmarkEnd w:id="21"/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1.提高绩效管理的科学性和规范性，为保证能准确清晰</w:t>
      </w: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反馈项目实施成果，建议合理设置绩效目标。进行项目前期绩效目标的细化、对应工作，加强绩效目标管理。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2.提高资金使用的合规性，为保障项目的顺利运行与经费的合理使用，应按照预算计划、在资金的使用范围内合理合规使用经费。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3.加强档案资料管理，保证项目建设资料完整性和规范性</w:t>
      </w: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加强项目管理，严格执行</w:t>
      </w: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项目法人责任制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ind w:left="0" w:leftChars="0" w:firstLine="0" w:firstLineChars="0"/>
        <w:rPr>
          <w:rFonts w:hint="default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3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GBK">
    <w:altName w:val="方正小标宋简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tabs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auto"/>
      <w:ind w:left="0" w:leftChars="0" w:right="360" w:firstLine="0" w:firstLineChars="0"/>
      <w:textAlignment w:val="auto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left="0" w:leftChars="0" w:firstLine="0" w:firstLineChars="0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34B99"/>
    <w:rsid w:val="207B3A3F"/>
    <w:rsid w:val="30E21BAE"/>
    <w:rsid w:val="45C455AE"/>
    <w:rsid w:val="49773BC3"/>
    <w:rsid w:val="4BE74D84"/>
    <w:rsid w:val="542A780D"/>
    <w:rsid w:val="7D7A3344"/>
    <w:rsid w:val="B6E3B3A5"/>
    <w:rsid w:val="ED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 w:line="360" w:lineRule="auto"/>
      <w:ind w:firstLine="640" w:firstLineChars="200"/>
      <w:outlineLvl w:val="0"/>
    </w:pPr>
    <w:rPr>
      <w:rFonts w:ascii="Calibri" w:hAnsi="Calibri" w:eastAsia="仿宋" w:cs="Calibri"/>
      <w:b/>
      <w:bCs/>
      <w:kern w:val="44"/>
      <w:sz w:val="32"/>
      <w:szCs w:val="32"/>
    </w:rPr>
  </w:style>
  <w:style w:type="paragraph" w:styleId="3">
    <w:name w:val="heading 2"/>
    <w:basedOn w:val="1"/>
    <w:next w:val="1"/>
    <w:qFormat/>
    <w:uiPriority w:val="0"/>
    <w:pPr>
      <w:wordWrap w:val="0"/>
      <w:spacing w:beforeAutospacing="1" w:afterAutospacing="1" w:line="560" w:lineRule="exact"/>
      <w:ind w:firstLine="640" w:firstLineChars="200"/>
      <w:jc w:val="left"/>
      <w:outlineLvl w:val="1"/>
    </w:pPr>
    <w:rPr>
      <w:rFonts w:hint="eastAsia" w:ascii="宋体" w:hAnsi="宋体" w:eastAsia="黑体" w:cs="宋体"/>
      <w:kern w:val="0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560" w:lineRule="exact"/>
      <w:ind w:firstLine="640" w:firstLineChars="200"/>
      <w:outlineLvl w:val="2"/>
    </w:pPr>
    <w:rPr>
      <w:rFonts w:eastAsia="楷体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0" w:leftChars="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99"/>
    <w:pPr>
      <w:ind w:firstLine="0" w:firstLineChars="0"/>
    </w:pPr>
  </w:style>
  <w:style w:type="paragraph" w:styleId="9">
    <w:name w:val="toc 2"/>
    <w:basedOn w:val="1"/>
    <w:next w:val="1"/>
    <w:qFormat/>
    <w:uiPriority w:val="99"/>
    <w:pPr>
      <w:ind w:left="0" w:leftChars="0" w:firstLine="320" w:firstLineChars="100"/>
    </w:pPr>
  </w:style>
  <w:style w:type="paragraph" w:customStyle="1" w:styleId="1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3239</Words>
  <Characters>3562</Characters>
  <Paragraphs>426</Paragraphs>
  <TotalTime>13</TotalTime>
  <ScaleCrop>false</ScaleCrop>
  <LinksUpToDate>false</LinksUpToDate>
  <CharactersWithSpaces>3843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2024-12-09T04:02:00Z</dcterms:created>
  <dc:creator>DELL</dc:creator>
  <cp:lastModifiedBy>guest</cp:lastModifiedBy>
  <cp:lastPrinted>2025-09-16T17:44:00Z</cp:lastPrinted>
  <dcterms:modified xsi:type="dcterms:W3CDTF">2025-12-09T14:52:23Z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6973DF5C6DDC84D211453269AB52018C</vt:lpwstr>
  </property>
  <property fmtid="{D5CDD505-2E9C-101B-9397-08002B2CF9AE}" pid="4" name="KSOTemplateDocerSaveRecord">
    <vt:lpwstr>eyJoZGlkIjoiMGIxYzg5ZjliZTFjNTYzZjJhZTIxMmEzYWU0MjkwYTUiLCJ1c2VySWQiOiIxMjg3NzA4Njg3In0=</vt:lpwstr>
  </property>
</Properties>
</file>