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36"/>
          <w:szCs w:val="36"/>
          <w:lang w:eastAsia="zh-CN"/>
        </w:rPr>
      </w:pPr>
      <w:bookmarkStart w:id="0" w:name="_GoBack"/>
      <w:r>
        <w:rPr>
          <w:rFonts w:hint="eastAsia" w:ascii="方正小标宋简体" w:eastAsia="方正小标宋简体"/>
          <w:sz w:val="36"/>
          <w:szCs w:val="36"/>
        </w:rPr>
        <w:t>中央环保督察反馈意见整改任务清单</w:t>
      </w:r>
    </w:p>
    <w:bookmarkEnd w:id="0"/>
    <w:p>
      <w:pPr>
        <w:pStyle w:val="2"/>
        <w:rPr>
          <w:rFonts w:hint="eastAsia"/>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171"/>
        <w:gridCol w:w="1562"/>
        <w:gridCol w:w="5543"/>
        <w:gridCol w:w="1106"/>
        <w:gridCol w:w="1061"/>
        <w:gridCol w:w="1485"/>
        <w:gridCol w:w="69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blHeader/>
          <w:jc w:val="center"/>
        </w:trPr>
        <w:tc>
          <w:tcPr>
            <w:tcW w:w="610" w:type="dxa"/>
            <w:noWrap w:val="0"/>
            <w:tcMar>
              <w:top w:w="113" w:type="dxa"/>
              <w:left w:w="170" w:type="dxa"/>
              <w:bottom w:w="113" w:type="dxa"/>
              <w:right w:w="170" w:type="dxa"/>
            </w:tcMar>
            <w:vAlign w:val="center"/>
          </w:tcPr>
          <w:p>
            <w:pPr>
              <w:widowControl/>
              <w:snapToGrid w:val="0"/>
              <w:spacing w:line="240" w:lineRule="exact"/>
              <w:ind w:left="-105" w:leftChars="-50" w:right="-105" w:rightChars="-50"/>
              <w:jc w:val="center"/>
              <w:rPr>
                <w:rFonts w:ascii="黑体" w:hAnsi="宋体" w:eastAsia="黑体" w:cs="宋体"/>
                <w:bCs/>
                <w:spacing w:val="-4"/>
                <w:kern w:val="0"/>
                <w:sz w:val="24"/>
              </w:rPr>
            </w:pPr>
            <w:r>
              <w:rPr>
                <w:rFonts w:hint="eastAsia" w:ascii="黑体" w:hAnsi="宋体" w:eastAsia="黑体" w:cs="宋体"/>
                <w:bCs/>
                <w:spacing w:val="-4"/>
                <w:kern w:val="0"/>
                <w:sz w:val="24"/>
              </w:rPr>
              <w:t>序号</w:t>
            </w:r>
          </w:p>
        </w:tc>
        <w:tc>
          <w:tcPr>
            <w:tcW w:w="2171" w:type="dxa"/>
            <w:noWrap w:val="0"/>
            <w:tcMar>
              <w:top w:w="113" w:type="dxa"/>
              <w:left w:w="170" w:type="dxa"/>
              <w:bottom w:w="113" w:type="dxa"/>
              <w:right w:w="170" w:type="dxa"/>
            </w:tcMar>
            <w:vAlign w:val="center"/>
          </w:tcPr>
          <w:p>
            <w:pPr>
              <w:widowControl/>
              <w:snapToGrid w:val="0"/>
              <w:spacing w:line="240" w:lineRule="exact"/>
              <w:ind w:left="-42" w:leftChars="-20" w:right="-42" w:rightChars="-20"/>
              <w:jc w:val="center"/>
              <w:rPr>
                <w:rFonts w:ascii="黑体" w:hAnsi="宋体" w:eastAsia="黑体" w:cs="宋体"/>
                <w:bCs/>
                <w:spacing w:val="-4"/>
                <w:kern w:val="0"/>
                <w:sz w:val="24"/>
              </w:rPr>
            </w:pPr>
            <w:r>
              <w:rPr>
                <w:rFonts w:hint="eastAsia" w:ascii="黑体" w:hAnsi="宋体" w:eastAsia="黑体" w:cs="宋体"/>
                <w:bCs/>
                <w:spacing w:val="-4"/>
                <w:kern w:val="0"/>
                <w:sz w:val="24"/>
              </w:rPr>
              <w:t>具体内容</w:t>
            </w:r>
          </w:p>
        </w:tc>
        <w:tc>
          <w:tcPr>
            <w:tcW w:w="1562" w:type="dxa"/>
            <w:noWrap w:val="0"/>
            <w:tcMar>
              <w:top w:w="113" w:type="dxa"/>
              <w:left w:w="170" w:type="dxa"/>
              <w:bottom w:w="113" w:type="dxa"/>
              <w:right w:w="170" w:type="dxa"/>
            </w:tcMar>
            <w:vAlign w:val="center"/>
          </w:tcPr>
          <w:p>
            <w:pPr>
              <w:widowControl/>
              <w:snapToGrid w:val="0"/>
              <w:spacing w:line="240" w:lineRule="exact"/>
              <w:ind w:left="-42" w:leftChars="-20" w:right="-42" w:rightChars="-20"/>
              <w:jc w:val="center"/>
              <w:rPr>
                <w:rFonts w:ascii="黑体" w:hAnsi="宋体" w:eastAsia="黑体" w:cs="宋体"/>
                <w:bCs/>
                <w:spacing w:val="-4"/>
                <w:kern w:val="0"/>
                <w:sz w:val="24"/>
              </w:rPr>
            </w:pPr>
            <w:r>
              <w:rPr>
                <w:rFonts w:hint="eastAsia" w:ascii="黑体" w:hAnsi="宋体" w:eastAsia="黑体" w:cs="宋体"/>
                <w:bCs/>
                <w:spacing w:val="-4"/>
                <w:kern w:val="0"/>
                <w:sz w:val="24"/>
              </w:rPr>
              <w:t>整改目标</w:t>
            </w:r>
          </w:p>
        </w:tc>
        <w:tc>
          <w:tcPr>
            <w:tcW w:w="5543" w:type="dxa"/>
            <w:noWrap w:val="0"/>
            <w:tcMar>
              <w:top w:w="113" w:type="dxa"/>
              <w:left w:w="170" w:type="dxa"/>
              <w:bottom w:w="113" w:type="dxa"/>
              <w:right w:w="170" w:type="dxa"/>
            </w:tcMar>
            <w:vAlign w:val="center"/>
          </w:tcPr>
          <w:p>
            <w:pPr>
              <w:widowControl/>
              <w:snapToGrid w:val="0"/>
              <w:spacing w:line="240" w:lineRule="exact"/>
              <w:ind w:left="-42" w:leftChars="-20" w:right="-42" w:rightChars="-20"/>
              <w:jc w:val="center"/>
              <w:rPr>
                <w:rFonts w:ascii="黑体" w:hAnsi="宋体" w:eastAsia="黑体" w:cs="宋体"/>
                <w:bCs/>
                <w:spacing w:val="-4"/>
                <w:kern w:val="0"/>
                <w:sz w:val="24"/>
              </w:rPr>
            </w:pPr>
            <w:r>
              <w:rPr>
                <w:rFonts w:hint="eastAsia" w:ascii="黑体" w:hAnsi="宋体" w:eastAsia="黑体" w:cs="宋体"/>
                <w:bCs/>
                <w:spacing w:val="-4"/>
                <w:kern w:val="0"/>
                <w:sz w:val="24"/>
              </w:rPr>
              <w:t>整改措施</w:t>
            </w:r>
          </w:p>
        </w:tc>
        <w:tc>
          <w:tcPr>
            <w:tcW w:w="1106" w:type="dxa"/>
            <w:noWrap w:val="0"/>
            <w:tcMar>
              <w:top w:w="113" w:type="dxa"/>
              <w:left w:w="170" w:type="dxa"/>
              <w:bottom w:w="113" w:type="dxa"/>
              <w:right w:w="170" w:type="dxa"/>
            </w:tcMar>
            <w:vAlign w:val="center"/>
          </w:tcPr>
          <w:p>
            <w:pPr>
              <w:widowControl/>
              <w:snapToGrid w:val="0"/>
              <w:spacing w:line="240" w:lineRule="exact"/>
              <w:ind w:left="-50" w:right="-50"/>
              <w:jc w:val="center"/>
              <w:rPr>
                <w:rFonts w:hint="eastAsia" w:ascii="黑体" w:hAnsi="宋体" w:eastAsia="黑体" w:cs="宋体"/>
                <w:bCs/>
                <w:spacing w:val="-4"/>
                <w:kern w:val="0"/>
                <w:sz w:val="24"/>
              </w:rPr>
            </w:pPr>
            <w:r>
              <w:rPr>
                <w:rFonts w:hint="eastAsia" w:ascii="黑体" w:hAnsi="宋体" w:eastAsia="黑体" w:cs="宋体"/>
                <w:bCs/>
                <w:spacing w:val="-4"/>
                <w:kern w:val="0"/>
                <w:sz w:val="24"/>
              </w:rPr>
              <w:t>责任</w:t>
            </w:r>
          </w:p>
          <w:p>
            <w:pPr>
              <w:widowControl/>
              <w:snapToGrid w:val="0"/>
              <w:spacing w:line="240" w:lineRule="exact"/>
              <w:ind w:left="-50" w:right="-50"/>
              <w:jc w:val="center"/>
              <w:rPr>
                <w:rFonts w:ascii="黑体" w:hAnsi="宋体" w:eastAsia="黑体" w:cs="宋体"/>
                <w:bCs/>
                <w:spacing w:val="-4"/>
                <w:kern w:val="0"/>
                <w:sz w:val="24"/>
              </w:rPr>
            </w:pPr>
            <w:r>
              <w:rPr>
                <w:rFonts w:hint="eastAsia" w:ascii="黑体" w:hAnsi="宋体" w:eastAsia="黑体" w:cs="宋体"/>
                <w:bCs/>
                <w:spacing w:val="-4"/>
                <w:kern w:val="0"/>
                <w:sz w:val="24"/>
              </w:rPr>
              <w:t>领导</w:t>
            </w:r>
          </w:p>
        </w:tc>
        <w:tc>
          <w:tcPr>
            <w:tcW w:w="1061" w:type="dxa"/>
            <w:noWrap w:val="0"/>
            <w:tcMar>
              <w:top w:w="113" w:type="dxa"/>
              <w:left w:w="170" w:type="dxa"/>
              <w:bottom w:w="113" w:type="dxa"/>
              <w:right w:w="170" w:type="dxa"/>
            </w:tcMar>
            <w:vAlign w:val="center"/>
          </w:tcPr>
          <w:p>
            <w:pPr>
              <w:widowControl/>
              <w:snapToGrid w:val="0"/>
              <w:spacing w:line="240" w:lineRule="exact"/>
              <w:ind w:left="-50" w:right="-50"/>
              <w:jc w:val="center"/>
              <w:rPr>
                <w:rFonts w:hint="eastAsia" w:ascii="黑体" w:hAnsi="宋体" w:eastAsia="黑体" w:cs="宋体"/>
                <w:bCs/>
                <w:spacing w:val="-4"/>
                <w:kern w:val="0"/>
                <w:sz w:val="24"/>
                <w:lang w:eastAsia="zh-CN"/>
              </w:rPr>
            </w:pPr>
            <w:r>
              <w:rPr>
                <w:rFonts w:hint="eastAsia" w:ascii="黑体" w:hAnsi="宋体" w:eastAsia="黑体" w:cs="宋体"/>
                <w:bCs/>
                <w:spacing w:val="-4"/>
                <w:kern w:val="0"/>
                <w:sz w:val="24"/>
                <w:lang w:eastAsia="zh-CN"/>
              </w:rPr>
              <w:t>牵头</w:t>
            </w:r>
          </w:p>
          <w:p>
            <w:pPr>
              <w:widowControl/>
              <w:snapToGrid w:val="0"/>
              <w:spacing w:line="240" w:lineRule="exact"/>
              <w:ind w:left="-50" w:right="-50"/>
              <w:jc w:val="center"/>
              <w:rPr>
                <w:rFonts w:hint="eastAsia" w:ascii="黑体" w:hAnsi="宋体" w:eastAsia="黑体" w:cs="宋体"/>
                <w:bCs/>
                <w:spacing w:val="-4"/>
                <w:kern w:val="0"/>
                <w:sz w:val="24"/>
                <w:lang w:eastAsia="zh-CN"/>
              </w:rPr>
            </w:pPr>
            <w:r>
              <w:rPr>
                <w:rFonts w:hint="eastAsia" w:ascii="黑体" w:hAnsi="宋体" w:eastAsia="黑体" w:cs="宋体"/>
                <w:bCs/>
                <w:spacing w:val="-4"/>
                <w:kern w:val="0"/>
                <w:sz w:val="24"/>
                <w:lang w:eastAsia="zh-CN"/>
              </w:rPr>
              <w:t>单位</w:t>
            </w:r>
          </w:p>
        </w:tc>
        <w:tc>
          <w:tcPr>
            <w:tcW w:w="1485" w:type="dxa"/>
            <w:noWrap w:val="0"/>
            <w:tcMar>
              <w:top w:w="113" w:type="dxa"/>
              <w:left w:w="170" w:type="dxa"/>
              <w:bottom w:w="113" w:type="dxa"/>
              <w:right w:w="170" w:type="dxa"/>
            </w:tcMar>
            <w:vAlign w:val="center"/>
          </w:tcPr>
          <w:p>
            <w:pPr>
              <w:widowControl/>
              <w:snapToGrid w:val="0"/>
              <w:spacing w:line="240" w:lineRule="exact"/>
              <w:ind w:left="-50" w:right="-50"/>
              <w:jc w:val="center"/>
              <w:rPr>
                <w:rFonts w:hint="eastAsia" w:ascii="黑体" w:hAnsi="宋体" w:eastAsia="黑体" w:cs="宋体"/>
                <w:bCs/>
                <w:spacing w:val="-4"/>
                <w:kern w:val="0"/>
                <w:sz w:val="24"/>
                <w:lang w:eastAsia="zh-CN"/>
              </w:rPr>
            </w:pPr>
            <w:r>
              <w:rPr>
                <w:rFonts w:hint="eastAsia" w:ascii="黑体" w:hAnsi="宋体" w:eastAsia="黑体" w:cs="宋体"/>
                <w:bCs/>
                <w:spacing w:val="-4"/>
                <w:kern w:val="0"/>
                <w:sz w:val="24"/>
                <w:lang w:eastAsia="zh-CN"/>
              </w:rPr>
              <w:t>责任</w:t>
            </w:r>
          </w:p>
          <w:p>
            <w:pPr>
              <w:widowControl/>
              <w:snapToGrid w:val="0"/>
              <w:spacing w:line="240" w:lineRule="exact"/>
              <w:ind w:left="-50" w:right="-50"/>
              <w:jc w:val="center"/>
              <w:rPr>
                <w:rFonts w:ascii="黑体" w:hAnsi="宋体" w:eastAsia="黑体" w:cs="宋体"/>
                <w:bCs/>
                <w:spacing w:val="-4"/>
                <w:kern w:val="0"/>
                <w:sz w:val="24"/>
              </w:rPr>
            </w:pPr>
            <w:r>
              <w:rPr>
                <w:rFonts w:hint="eastAsia" w:ascii="黑体" w:hAnsi="宋体" w:eastAsia="黑体" w:cs="宋体"/>
                <w:bCs/>
                <w:spacing w:val="-4"/>
                <w:kern w:val="0"/>
                <w:sz w:val="24"/>
              </w:rPr>
              <w:t>单位</w:t>
            </w:r>
          </w:p>
        </w:tc>
        <w:tc>
          <w:tcPr>
            <w:tcW w:w="696" w:type="dxa"/>
            <w:noWrap w:val="0"/>
            <w:tcMar>
              <w:top w:w="113" w:type="dxa"/>
              <w:left w:w="170" w:type="dxa"/>
              <w:bottom w:w="113" w:type="dxa"/>
              <w:right w:w="170" w:type="dxa"/>
            </w:tcMar>
            <w:vAlign w:val="center"/>
          </w:tcPr>
          <w:p>
            <w:pPr>
              <w:widowControl/>
              <w:snapToGrid w:val="0"/>
              <w:spacing w:line="240" w:lineRule="exact"/>
              <w:ind w:left="-210" w:leftChars="-100" w:right="-210" w:rightChars="-100"/>
              <w:jc w:val="center"/>
              <w:rPr>
                <w:rFonts w:hint="eastAsia" w:ascii="黑体" w:hAnsi="宋体" w:eastAsia="黑体" w:cs="宋体"/>
                <w:bCs/>
                <w:spacing w:val="-4"/>
                <w:kern w:val="0"/>
                <w:sz w:val="24"/>
              </w:rPr>
            </w:pPr>
            <w:r>
              <w:rPr>
                <w:rFonts w:hint="eastAsia" w:ascii="黑体" w:hAnsi="宋体" w:eastAsia="黑体" w:cs="宋体"/>
                <w:bCs/>
                <w:spacing w:val="-4"/>
                <w:kern w:val="0"/>
                <w:sz w:val="24"/>
              </w:rPr>
              <w:t>整改</w:t>
            </w:r>
          </w:p>
          <w:p>
            <w:pPr>
              <w:widowControl/>
              <w:snapToGrid w:val="0"/>
              <w:spacing w:line="240" w:lineRule="exact"/>
              <w:ind w:left="-210" w:leftChars="-100" w:right="-210" w:rightChars="-100"/>
              <w:jc w:val="center"/>
              <w:rPr>
                <w:rFonts w:ascii="黑体" w:hAnsi="宋体" w:eastAsia="黑体" w:cs="宋体"/>
                <w:bCs/>
                <w:spacing w:val="-4"/>
                <w:kern w:val="0"/>
                <w:sz w:val="24"/>
              </w:rPr>
            </w:pPr>
            <w:r>
              <w:rPr>
                <w:rFonts w:hint="eastAsia" w:ascii="黑体" w:hAnsi="宋体" w:eastAsia="黑体" w:cs="宋体"/>
                <w:bCs/>
                <w:spacing w:val="-4"/>
                <w:kern w:val="0"/>
                <w:sz w:val="24"/>
              </w:rPr>
              <w:t>时限</w:t>
            </w:r>
          </w:p>
        </w:tc>
        <w:tc>
          <w:tcPr>
            <w:tcW w:w="715" w:type="dxa"/>
            <w:noWrap w:val="0"/>
            <w:tcMar>
              <w:top w:w="113" w:type="dxa"/>
              <w:left w:w="170" w:type="dxa"/>
              <w:bottom w:w="113" w:type="dxa"/>
              <w:right w:w="170" w:type="dxa"/>
            </w:tcMar>
            <w:vAlign w:val="center"/>
          </w:tcPr>
          <w:p>
            <w:pPr>
              <w:widowControl/>
              <w:snapToGrid w:val="0"/>
              <w:spacing w:line="240" w:lineRule="exact"/>
              <w:ind w:left="-42" w:leftChars="-20" w:right="-42" w:rightChars="-20"/>
              <w:jc w:val="center"/>
              <w:rPr>
                <w:rFonts w:ascii="黑体" w:hAnsi="宋体" w:eastAsia="黑体" w:cs="宋体"/>
                <w:bCs/>
                <w:spacing w:val="-4"/>
                <w:kern w:val="0"/>
                <w:sz w:val="24"/>
              </w:rPr>
            </w:pPr>
            <w:r>
              <w:rPr>
                <w:rFonts w:hint="eastAsia" w:ascii="黑体" w:hAnsi="宋体" w:eastAsia="黑体" w:cs="宋体"/>
                <w:bCs/>
                <w:spacing w:val="-4"/>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610" w:type="dxa"/>
            <w:noWrap w:val="0"/>
            <w:tcMar>
              <w:top w:w="113" w:type="dxa"/>
              <w:left w:w="170" w:type="dxa"/>
              <w:bottom w:w="113" w:type="dxa"/>
              <w:right w:w="170" w:type="dxa"/>
            </w:tcMar>
            <w:vAlign w:val="center"/>
          </w:tcPr>
          <w:p>
            <w:pPr>
              <w:keepNext w:val="0"/>
              <w:keepLines w:val="0"/>
              <w:widowControl/>
              <w:suppressLineNumbers w:val="0"/>
              <w:jc w:val="center"/>
              <w:textAlignment w:val="center"/>
              <w:rPr>
                <w:rFonts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9</w:t>
            </w:r>
          </w:p>
        </w:tc>
        <w:tc>
          <w:tcPr>
            <w:tcW w:w="2171"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 xml:space="preserve">  湖北省2014年和2015年大气污染防治目标没有达到国家考核要求，2016年虽完成了国家考核目标，但没有一个城市达到国家二级空气质量标准。与2013年相比，2016年主要河流水质总体稳定，但仍有31个地表水省控及以上断面水质下降，占总断面数的14.1%。主要湖库水质2014年、2015年持续下降，2016年基本保持稳定，但符合Ⅰ-Ⅲ类标准的水域比例仍呈下降趋势。</w:t>
            </w:r>
          </w:p>
        </w:tc>
        <w:tc>
          <w:tcPr>
            <w:tcW w:w="1562"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 xml:space="preserve">  持续开展大气污染防治攻坚战，确保完成全省大气环境质量年度考核目标任务。持续改善水环境质量，确保主要河流、湖库水质“只能更好、不能变坏”。斧头湖等重要湖泊水质明显改善。</w:t>
            </w:r>
          </w:p>
        </w:tc>
        <w:tc>
          <w:tcPr>
            <w:tcW w:w="5543"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 xml:space="preserve">  1.强力推进大气污染防治。（1）加大工业领域大气治污减排工作力度，开展大气重点排放行业全面达标行动，加强工业领域VOCs综合治理工作，强力开展20t/h以下燃煤小锅炉专项整治。（2）加强机动车大气污染防治工作，配合咸宁市完成黄标车淘汰工作，2017年全市范围基本淘汰黄标车。（3）继续推行扬尘专项整治行动。（4）加强工业烟粉尘以及堆场、料场、矿山等扬尘污染控制。（5）大力整治餐厨油烟。（6）加强加油站和储油库油气回收工作。（7）认真落实秸秆综合利用和禁烧工作。</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2.深入推进“水十条”重点任务落实。（1）加强工业企业、城镇生活、畜禽养殖、农业面源等污染防治，落实部门责任，推进防治措施落实。（2）重点对工业集聚区污染治理设施进行专项清查，咸安经济开发区2017年底前按规定建成污水集中处理设施。（3）加快城市黑臭水体治理，建成区实现河面无大面积漂浮物，河岸无垃圾，无违法排污口；到2020年底前，完成黑臭水体治理目标。（4）2020年底前基本实现城镇污水处理设施提标升级改造和配套管网建设和乡镇污水处理设施建设。（5）加强养殖污染防治，2017年底前依法关闭或搬迁禁养区内畜禽养殖场（小区）和养殖专业户，全面完成湖泊水产养殖围网拆除工作。</w:t>
            </w:r>
          </w:p>
        </w:tc>
        <w:tc>
          <w:tcPr>
            <w:tcW w:w="1106" w:type="dxa"/>
            <w:noWrap w:val="0"/>
            <w:tcMar>
              <w:top w:w="113" w:type="dxa"/>
              <w:left w:w="170" w:type="dxa"/>
              <w:bottom w:w="113" w:type="dxa"/>
              <w:right w:w="170" w:type="dxa"/>
            </w:tcMar>
            <w:vAlign w:val="center"/>
          </w:tcPr>
          <w:p>
            <w:pPr>
              <w:keepNext w:val="0"/>
              <w:keepLines w:val="0"/>
              <w:widowControl/>
              <w:suppressLineNumbers w:val="0"/>
              <w:jc w:val="center"/>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杜新国</w:t>
            </w:r>
          </w:p>
        </w:tc>
        <w:tc>
          <w:tcPr>
            <w:tcW w:w="1061"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区政府办公室、区生态环境分局，区交通局、区住建局、区城管执法局、区商务局、区自然资源和规划局、区农业农村局、区水利和湖泊局、各乡镇（办场）党委、政府，咸安经济开发区管委会</w:t>
            </w:r>
          </w:p>
        </w:tc>
        <w:tc>
          <w:tcPr>
            <w:tcW w:w="1485"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区政府办公室、区生态环境分局，区交通局、区住建局、区城管执法局、区商务局、区自然资源和规划局、区农业农村局、区水利和湖泊局、各乡镇（办场）党委、政府，咸安经济开发区管委会主要负责人</w:t>
            </w:r>
          </w:p>
        </w:tc>
        <w:tc>
          <w:tcPr>
            <w:tcW w:w="696"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区生态环境分局</w:t>
            </w:r>
          </w:p>
        </w:tc>
        <w:tc>
          <w:tcPr>
            <w:tcW w:w="715" w:type="dxa"/>
            <w:noWrap w:val="0"/>
            <w:tcMar>
              <w:top w:w="113" w:type="dxa"/>
              <w:left w:w="170" w:type="dxa"/>
              <w:bottom w:w="113" w:type="dxa"/>
              <w:right w:w="170" w:type="dxa"/>
            </w:tcMar>
            <w:vAlign w:val="center"/>
          </w:tcPr>
          <w:p>
            <w:pPr>
              <w:snapToGrid w:val="0"/>
              <w:spacing w:line="200" w:lineRule="exact"/>
              <w:ind w:left="-105" w:leftChars="-50" w:right="-105" w:rightChars="-50"/>
              <w:jc w:val="center"/>
              <w:rPr>
                <w:rFonts w:hint="eastAsia" w:ascii="仿宋_GB2312" w:hAnsi="宋体" w:eastAsia="仿宋_GB2312" w:cs="宋体"/>
                <w:spacing w:val="-4"/>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610" w:type="dxa"/>
            <w:noWrap w:val="0"/>
            <w:tcMar>
              <w:top w:w="113" w:type="dxa"/>
              <w:left w:w="170" w:type="dxa"/>
              <w:bottom w:w="113" w:type="dxa"/>
              <w:right w:w="170" w:type="dxa"/>
            </w:tcMar>
            <w:vAlign w:val="center"/>
          </w:tcPr>
          <w:p>
            <w:pPr>
              <w:keepNext w:val="0"/>
              <w:keepLines w:val="0"/>
              <w:widowControl/>
              <w:suppressLineNumbers w:val="0"/>
              <w:jc w:val="center"/>
              <w:textAlignment w:val="center"/>
              <w:rPr>
                <w:rFonts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★16</w:t>
            </w:r>
          </w:p>
        </w:tc>
        <w:tc>
          <w:tcPr>
            <w:tcW w:w="2171"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截至督察时，长江干流饮用水水源一、二级保护区内还存在220个违法违规设施或项目。</w:t>
            </w:r>
          </w:p>
        </w:tc>
        <w:tc>
          <w:tcPr>
            <w:tcW w:w="1562"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排查整治全区饮用水水源地保护区内的排污口、违规建设项目和违法活动，到2017年底前，全面完成咸宁市淦河马桥水源地整治任务，到2020年底前，完成乡镇集中式饮用水水源地违法违规设施和项目清理整治工作。</w:t>
            </w:r>
          </w:p>
        </w:tc>
        <w:tc>
          <w:tcPr>
            <w:tcW w:w="5543"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1.在2017年6月份开始，组织开展 饮用水水源地环境保护综合整治督查督办，对咸宁市淦河马桥水源地整改进展情况进行跟踪督办，对整改进展缓慢的，采取挂牌督办、约谈、责任追究等措施，强力推进整改，确保按期完成整治任务。  2.利用2－3年时间集中开展乡镇集中式饮用水水源地环境专项整治，依法全面清理违法违规设施和项目。</w:t>
            </w:r>
          </w:p>
        </w:tc>
        <w:tc>
          <w:tcPr>
            <w:tcW w:w="1106" w:type="dxa"/>
            <w:noWrap w:val="0"/>
            <w:tcMar>
              <w:top w:w="113" w:type="dxa"/>
              <w:left w:w="170" w:type="dxa"/>
              <w:bottom w:w="113" w:type="dxa"/>
              <w:right w:w="170" w:type="dxa"/>
            </w:tcMar>
            <w:vAlign w:val="center"/>
          </w:tcPr>
          <w:p>
            <w:pPr>
              <w:keepNext w:val="0"/>
              <w:keepLines w:val="0"/>
              <w:widowControl/>
              <w:suppressLineNumbers w:val="0"/>
              <w:jc w:val="center"/>
              <w:textAlignment w:val="center"/>
              <w:rPr>
                <w:rFonts w:hint="eastAsia" w:ascii="仿宋_GB2312" w:hAnsi="宋体" w:eastAsia="仿宋_GB2312" w:cs="宋体"/>
                <w:szCs w:val="21"/>
                <w:lang w:eastAsia="zh-CN"/>
              </w:rPr>
            </w:pPr>
            <w:r>
              <w:rPr>
                <w:rFonts w:hint="eastAsia" w:ascii="宋体" w:hAnsi="宋体" w:eastAsia="宋体" w:cs="宋体"/>
                <w:i w:val="0"/>
                <w:color w:val="000000"/>
                <w:kern w:val="0"/>
                <w:sz w:val="20"/>
                <w:szCs w:val="20"/>
                <w:u w:val="none"/>
                <w:lang w:val="en-US" w:eastAsia="zh-CN" w:bidi="ar"/>
              </w:rPr>
              <w:t>杜新国</w:t>
            </w:r>
          </w:p>
        </w:tc>
        <w:tc>
          <w:tcPr>
            <w:tcW w:w="1061"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区生态环境分局、区水利和湖泊局，马桥镇党委、政府</w:t>
            </w:r>
          </w:p>
        </w:tc>
        <w:tc>
          <w:tcPr>
            <w:tcW w:w="1485"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区生态环境分局、区水利和湖泊局，马桥镇党委、政府主要负责人</w:t>
            </w:r>
          </w:p>
        </w:tc>
        <w:tc>
          <w:tcPr>
            <w:tcW w:w="696"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仿宋_GB2312" w:hAnsi="宋体" w:eastAsia="仿宋_GB2312" w:cs="宋体"/>
                <w:szCs w:val="21"/>
              </w:rPr>
            </w:pPr>
            <w:r>
              <w:rPr>
                <w:rFonts w:hint="eastAsia" w:ascii="宋体" w:hAnsi="宋体" w:eastAsia="宋体" w:cs="宋体"/>
                <w:i w:val="0"/>
                <w:color w:val="000000"/>
                <w:kern w:val="0"/>
                <w:sz w:val="20"/>
                <w:szCs w:val="20"/>
                <w:u w:val="none"/>
                <w:lang w:val="en-US" w:eastAsia="zh-CN" w:bidi="ar"/>
              </w:rPr>
              <w:t>区生态环境分局</w:t>
            </w:r>
          </w:p>
        </w:tc>
        <w:tc>
          <w:tcPr>
            <w:tcW w:w="715" w:type="dxa"/>
            <w:noWrap w:val="0"/>
            <w:tcMar>
              <w:top w:w="113" w:type="dxa"/>
              <w:left w:w="170" w:type="dxa"/>
              <w:bottom w:w="113" w:type="dxa"/>
              <w:right w:w="170" w:type="dxa"/>
            </w:tcMar>
            <w:vAlign w:val="center"/>
          </w:tcPr>
          <w:p>
            <w:pPr>
              <w:widowControl/>
              <w:adjustRightInd w:val="0"/>
              <w:snapToGrid w:val="0"/>
              <w:spacing w:line="190" w:lineRule="exact"/>
              <w:ind w:left="-105" w:leftChars="-50" w:right="-105" w:rightChars="-50"/>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610" w:type="dxa"/>
            <w:noWrap w:val="0"/>
            <w:tcMar>
              <w:top w:w="113" w:type="dxa"/>
              <w:left w:w="170" w:type="dxa"/>
              <w:bottom w:w="113" w:type="dxa"/>
              <w:right w:w="17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171"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着力加强长江干流，以及主要支流、重要湖库的污染综合防治，持续推进重点行业、重点区域的总磷污染治理。</w:t>
            </w:r>
          </w:p>
        </w:tc>
        <w:tc>
          <w:tcPr>
            <w:tcW w:w="1562"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持续改善水环境质量，保障水环境生态安全。实现咸安地域水质达标。</w:t>
            </w:r>
          </w:p>
        </w:tc>
        <w:tc>
          <w:tcPr>
            <w:tcW w:w="5543"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1.强化考核约束机制。开展水污染防治工作目标与重点任务完成情况年度考核，考核结果向社会公开。对考核不合格的地方实施通报批评、约谈、限批等措施。对工作不力的地区实施严肃问责。                                     2.推进重点流域区域污染防治，大力实施不达标水体和黑臭水体综合整治。</w:t>
            </w:r>
          </w:p>
        </w:tc>
        <w:tc>
          <w:tcPr>
            <w:tcW w:w="1106" w:type="dxa"/>
            <w:noWrap w:val="0"/>
            <w:tcMar>
              <w:top w:w="113" w:type="dxa"/>
              <w:left w:w="170" w:type="dxa"/>
              <w:bottom w:w="113" w:type="dxa"/>
              <w:right w:w="17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杜新国</w:t>
            </w:r>
          </w:p>
        </w:tc>
        <w:tc>
          <w:tcPr>
            <w:tcW w:w="1061"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区生态环境分局、区水利和湖泊局、区农业农村局、区住建局，各乡镇（办场）党委、政府，咸安经济开发区管委会</w:t>
            </w:r>
          </w:p>
        </w:tc>
        <w:tc>
          <w:tcPr>
            <w:tcW w:w="1485"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区生态环境分局、区水利和湖泊局、区农业农村局、区住建局，各乡镇（办场）党委、政府，咸安经济开发区管委会主要负责人</w:t>
            </w:r>
          </w:p>
        </w:tc>
        <w:tc>
          <w:tcPr>
            <w:tcW w:w="696" w:type="dxa"/>
            <w:noWrap w:val="0"/>
            <w:tcMar>
              <w:top w:w="113" w:type="dxa"/>
              <w:left w:w="170" w:type="dxa"/>
              <w:bottom w:w="113" w:type="dxa"/>
              <w:right w:w="17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区生态环境分局</w:t>
            </w:r>
          </w:p>
        </w:tc>
        <w:tc>
          <w:tcPr>
            <w:tcW w:w="715" w:type="dxa"/>
            <w:noWrap w:val="0"/>
            <w:tcMar>
              <w:top w:w="113" w:type="dxa"/>
              <w:left w:w="170" w:type="dxa"/>
              <w:bottom w:w="113" w:type="dxa"/>
              <w:right w:w="170" w:type="dxa"/>
            </w:tcMar>
            <w:vAlign w:val="center"/>
          </w:tcPr>
          <w:p>
            <w:pPr>
              <w:widowControl/>
              <w:adjustRightInd w:val="0"/>
              <w:snapToGrid w:val="0"/>
              <w:spacing w:line="190" w:lineRule="exact"/>
              <w:ind w:left="-105" w:leftChars="-50" w:right="-105" w:rightChars="-50"/>
              <w:jc w:val="center"/>
              <w:rPr>
                <w:rFonts w:hint="eastAsia" w:ascii="仿宋_GB2312" w:hAnsi="宋体" w:eastAsia="仿宋_GB2312" w:cs="宋体"/>
                <w:szCs w:val="21"/>
              </w:rPr>
            </w:pPr>
          </w:p>
        </w:tc>
      </w:tr>
    </w:tbl>
    <w:p>
      <w:pPr>
        <w:widowControl/>
        <w:spacing w:line="300" w:lineRule="exact"/>
        <w:jc w:val="left"/>
        <w:rPr>
          <w:rFonts w:hint="eastAsia" w:ascii="仿宋_GB2312" w:hAnsi="仿宋_GB2312" w:eastAsia="仿宋_GB2312" w:cs="仿宋_GB2312"/>
          <w:sz w:val="32"/>
          <w:szCs w:val="32"/>
        </w:rPr>
      </w:pPr>
    </w:p>
    <w:p/>
    <w:sectPr>
      <w:pgSz w:w="16838" w:h="11906" w:orient="landscape"/>
      <w:pgMar w:top="567" w:right="784" w:bottom="113" w:left="734" w:header="113" w:footer="113"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86405"/>
    <w:rsid w:val="5238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unhideWhenUsed/>
    <w:uiPriority w:val="0"/>
    <w:rPr>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2020-01-15T08:57:00Z</dcterms:created>
  <dc:creator>Administrator</dc:creator>
  <cp:lastModifiedBy>Administrator</cp:lastModifiedBy>
  <dcterms:modified xsi:type="dcterms:W3CDTF">2020-01-15T08:58:24Z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