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16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  <w:r>
        <w:rPr>
          <w:rFonts w:hint="default" w:ascii="Times New Roman" w:hAnsi="Times New Roman" w:eastAsia="黑体" w:cs="Times New Roman"/>
          <w:sz w:val="31"/>
          <w:szCs w:val="31"/>
          <w:bdr w:val="none" w:color="auto" w:sz="0" w:space="0"/>
        </w:rPr>
        <w:t>3</w:t>
      </w:r>
    </w:p>
    <w:p w14:paraId="2590D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2205"/>
        <w:jc w:val="both"/>
      </w:pPr>
      <w:r>
        <w:rPr>
          <w:rFonts w:hint="eastAsia" w:ascii="黑体" w:hAnsi="宋体" w:eastAsia="黑体" w:cs="黑体"/>
          <w:sz w:val="43"/>
          <w:szCs w:val="43"/>
          <w:bdr w:val="none" w:color="auto" w:sz="0" w:space="0"/>
        </w:rPr>
        <w:t> </w:t>
      </w:r>
    </w:p>
    <w:p w14:paraId="3B2AE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2205"/>
        <w:jc w:val="both"/>
      </w:pPr>
      <w:bookmarkStart w:id="0" w:name="_GoBack"/>
      <w:r>
        <w:rPr>
          <w:rFonts w:hint="eastAsia" w:ascii="黑体" w:hAnsi="宋体" w:eastAsia="黑体" w:cs="黑体"/>
          <w:sz w:val="43"/>
          <w:szCs w:val="43"/>
          <w:bdr w:val="none" w:color="auto" w:sz="0" w:space="0"/>
        </w:rPr>
        <w:t>征地补偿安置方案</w:t>
      </w:r>
    </w:p>
    <w:bookmarkEnd w:id="0"/>
    <w:p w14:paraId="264A17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咸安区人民政府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根据《中华人民共和国土地管理法》第四十八条和《中华人民共和国土地管理法实施条例》第二十五条规定及《湖北省土地管理实施办法》有关规定制定了本方案，现将具体内容公告如下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：</w:t>
      </w:r>
    </w:p>
    <w:p w14:paraId="7714DA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一、征收范围及土地现状</w:t>
      </w:r>
    </w:p>
    <w:p w14:paraId="613D2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本项目拟征收咸安区温泉街道黄畈社区、浮山街道太乙村、汀泗桥镇黄荆塘村和向阳湖镇广东畈村，涉及集体土地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4.6144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公顷，其中农用地面积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2.7393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公顷（耕地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0.9478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公顷），建设用地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1.8751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公顷。</w:t>
      </w:r>
    </w:p>
    <w:p w14:paraId="79AD4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二、征收目的</w:t>
      </w:r>
    </w:p>
    <w:p w14:paraId="3D182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该批次建设用地符合《中华人民共和国土地管理法》第四十五条规定，</w:t>
      </w:r>
      <w:r>
        <w:rPr>
          <w:rFonts w:hint="default" w:ascii="仿宋_GB2312" w:hAnsi="Times New Roman" w:eastAsia="仿宋_GB2312" w:cs="仿宋_GB2312"/>
          <w:sz w:val="31"/>
          <w:szCs w:val="31"/>
          <w:bdr w:val="none" w:color="auto" w:sz="0" w:space="0"/>
        </w:rPr>
        <w:t>因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咸安区经济发展用地</w:t>
      </w:r>
      <w:r>
        <w:rPr>
          <w:rFonts w:hint="default" w:ascii="仿宋_GB2312" w:hAnsi="Times New Roman" w:eastAsia="仿宋_GB2312" w:cs="仿宋_GB2312"/>
          <w:sz w:val="31"/>
          <w:szCs w:val="31"/>
          <w:bdr w:val="none" w:color="auto" w:sz="0" w:space="0"/>
        </w:rPr>
        <w:t>需要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，确需征收农民集体所有土地。</w:t>
      </w:r>
    </w:p>
    <w:p w14:paraId="781F3B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三、征地补偿费用</w:t>
      </w:r>
    </w:p>
    <w:p w14:paraId="3BDB4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根据咸宁市咸安区征地区片综合地价综合测算，其土地补偿费、安置补助费、青苗补偿费标准见下表，农村村民住宅、地上附着物等其他补偿费据实登记后，按照《咸宁市人民政府关于征收集体建设用地、集体未利用地和被征收土地地上附着物和青苗补偿标准的批复》（咸政函〔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2024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4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号）执行，据实结算。</w:t>
      </w:r>
    </w:p>
    <w:p w14:paraId="4ECD8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45"/>
        <w:gridCol w:w="1455"/>
        <w:gridCol w:w="1440"/>
        <w:gridCol w:w="1455"/>
        <w:gridCol w:w="1440"/>
      </w:tblGrid>
      <w:tr w14:paraId="4C8F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A11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征地单位</w:t>
            </w:r>
          </w:p>
        </w:tc>
        <w:tc>
          <w:tcPr>
            <w:tcW w:w="702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382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征地补偿费</w:t>
            </w:r>
          </w:p>
        </w:tc>
      </w:tr>
      <w:tr w14:paraId="15F6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5F92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3D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CED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土地补偿费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FB2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安置补助费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D0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青苗补偿费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81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其它补偿费</w:t>
            </w:r>
          </w:p>
        </w:tc>
      </w:tr>
      <w:tr w14:paraId="59A3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0157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0B2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C21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AC9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BA8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A8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万元</w:t>
            </w:r>
          </w:p>
        </w:tc>
      </w:tr>
      <w:tr w14:paraId="4C94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75F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C4A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361.5608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C3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143.4346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CA7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215.152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D65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2.9742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D3D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据实补偿</w:t>
            </w:r>
          </w:p>
        </w:tc>
      </w:tr>
      <w:tr w14:paraId="1238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95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黄畈社区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4A1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9.4913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C6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3.7965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B1A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5.6948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000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0.0000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86D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据实补偿</w:t>
            </w:r>
          </w:p>
        </w:tc>
      </w:tr>
      <w:tr w14:paraId="3A09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A04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太乙村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56E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12.5206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56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5.0082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B4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7.5124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45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0.0000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E3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据实补偿</w:t>
            </w:r>
          </w:p>
        </w:tc>
      </w:tr>
      <w:tr w14:paraId="18EA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CCD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黄荆塘村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5B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36.1740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260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14.4696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0A9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21.7044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7E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0.0000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D8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据实补偿</w:t>
            </w:r>
          </w:p>
        </w:tc>
      </w:tr>
      <w:tr w14:paraId="31F1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F4A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广东畈村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8FA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303.3749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3F9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120.1603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5D0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180.2404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153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2.9742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4E1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据实补偿</w:t>
            </w:r>
          </w:p>
        </w:tc>
      </w:tr>
    </w:tbl>
    <w:p w14:paraId="4C850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p w14:paraId="16399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四、安置方式及社会保障</w:t>
      </w:r>
    </w:p>
    <w:p w14:paraId="3974DC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该项目用地涉及安置人口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60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人，计划通过货币补偿安置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60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人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，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被征地农民的社会保障费用按照《湖北省人民政府关于被征地农民参加基本养老保险的指导意见》（鄂政发〔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2014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53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号）和《湖北省人社厅等部门关于印发〈湖北省被征地农民养老保险补偿实施细则〉的通知》（鄂人社发〔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2015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号）文件执行。经调查，该批次共有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3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户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11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人符合纳入被征地农民养老保险补偿安置条件，养老保险资金将采取足额预存方式存入社会保障财政专户。在用地依法批准后，咸安区人民政府将认真落实征地补偿安置工作，确保被征地农民原有生活水平不降低，长远生计有保障。</w:t>
      </w:r>
    </w:p>
    <w:p w14:paraId="13159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p w14:paraId="29782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 w14:paraId="4E50E0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6E55"/>
    <w:rsid w:val="4FB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2025-08-01T08:22:00Z</dcterms:created>
  <dc:creator>伯格.D</dc:creator>
  <cp:lastModifiedBy>伯格.D</cp:lastModifiedBy>
  <dcterms:modified xsi:type="dcterms:W3CDTF">2025-08-01T08:22:27Z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F55C3B6626AF46728BED2D8F91B5864F_11</vt:lpwstr>
  </property>
  <property fmtid="{D5CDD505-2E9C-101B-9397-08002B2CF9AE}" pid="4" name="KSOTemplateDocerSaveRecord">
    <vt:lpwstr>eyJoZGlkIjoiYjE0NWU4MWIwNDU0MDJkMDNjOWEwMjk4ZTllMDYxZGQiLCJ1c2VySWQiOiI0NDMxNDgyMzQifQ==</vt:lpwstr>
  </property>
</Properties>
</file>