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4A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Style w:val="6"/>
          <w:rFonts w:ascii="仿宋" w:hAnsi="仿宋" w:eastAsia="仿宋" w:cs="仿宋"/>
          <w:sz w:val="36"/>
          <w:szCs w:val="36"/>
        </w:rPr>
        <w:t>2022年度自然资源和规划局部门整体绩效自评结果</w:t>
      </w:r>
    </w:p>
    <w:p w14:paraId="5754F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一 、自评结论</w:t>
      </w:r>
    </w:p>
    <w:p w14:paraId="5793C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(一)部门整体绩效自评得分97分</w:t>
      </w:r>
    </w:p>
    <w:p w14:paraId="371F1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(二)部门整体绩效目标完成情况</w:t>
      </w:r>
    </w:p>
    <w:p w14:paraId="15EC3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1.从运行成本</w:t>
      </w:r>
    </w:p>
    <w:p w14:paraId="19970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（1）公用经费控制情况</w:t>
      </w:r>
    </w:p>
    <w:p w14:paraId="473C8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 2022年度公用经费实际支出613.65元。其中，办公费22.86万元，印刷费1.32万元，水费6.02万元，电费37.75万元，邮电费27.92万元，物业管理费18.20万元，差旅费0.17万元，维修维护费191.20万元，公务接待费5.38万元，劳务费1.73万元，委托业务费65.39万元，工会经费80.47万元，福利费7.16万元，公务车运行费7.54万元，交通补贴36.7万元，其他商品服务支出103.82万元。2022年度预算公用经费支出406.65万元。从数据上分析，维修维护费用过大，原因是：9个基层所和局办公楼年数已久，需维修的地方多。公用经费控制率153%。</w:t>
      </w:r>
    </w:p>
    <w:p w14:paraId="59FFA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（2 ）在职人员控制情况</w:t>
      </w:r>
    </w:p>
    <w:p w14:paraId="71763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     根据咸安办文【2019】20 号区委办公室 区政府办公室关于印发《咸宁市咸安区自然资源和规划局职能配置、内设机构和人员编制规定》的通知，区自然资源和规划局是政府工作部门，为正科级，定公务员编24人，事业编69人，工勤编2人，2022年实际在职人数为95人，退休17人。在职人员控制率100%。</w:t>
      </w:r>
    </w:p>
    <w:p w14:paraId="056A4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（3）项目支出成本控制</w:t>
      </w:r>
    </w:p>
    <w:p w14:paraId="7678E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2022年度我局没有发生会议费用。</w:t>
      </w:r>
      <w:r>
        <w:rPr>
          <w:rFonts w:hint="eastAsia" w:ascii="仿宋" w:hAnsi="仿宋" w:eastAsia="仿宋" w:cs="仿宋"/>
          <w:sz w:val="30"/>
          <w:szCs w:val="30"/>
        </w:rPr>
        <w:t>“三公”经费</w:t>
      </w:r>
    </w:p>
    <w:p w14:paraId="6F6A4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pPr>
      <w:r>
        <w:rPr>
          <w:rFonts w:hint="eastAsia" w:ascii="仿宋" w:hAnsi="仿宋" w:eastAsia="仿宋" w:cs="仿宋"/>
          <w:sz w:val="30"/>
          <w:szCs w:val="30"/>
        </w:rPr>
        <w:t>2022年“三公</w:t>
      </w:r>
      <w:r>
        <w:rPr>
          <w:rFonts w:hint="eastAsia" w:ascii="仿宋" w:hAnsi="仿宋" w:eastAsia="仿宋" w:cs="仿宋"/>
          <w:sz w:val="30"/>
          <w:szCs w:val="30"/>
        </w:rPr>
        <w:t>”</w:t>
      </w:r>
      <w:r>
        <w:rPr>
          <w:rFonts w:hint="eastAsia" w:ascii="仿宋" w:hAnsi="仿宋" w:eastAsia="仿宋" w:cs="仿宋"/>
          <w:sz w:val="30"/>
          <w:szCs w:val="30"/>
        </w:rPr>
        <w:t>经费预算数64万元，比上年“三公</w:t>
      </w:r>
      <w:r>
        <w:rPr>
          <w:rFonts w:hint="eastAsia" w:ascii="仿宋" w:hAnsi="仿宋" w:eastAsia="仿宋" w:cs="仿宋"/>
          <w:sz w:val="30"/>
          <w:szCs w:val="30"/>
        </w:rPr>
        <w:t>”</w:t>
      </w:r>
      <w:r>
        <w:rPr>
          <w:rFonts w:hint="eastAsia" w:ascii="仿宋" w:hAnsi="仿宋" w:eastAsia="仿宋" w:cs="仿宋"/>
          <w:sz w:val="30"/>
          <w:szCs w:val="30"/>
        </w:rPr>
        <w:t>经费预算少1.78万元，变动率为2.7%</w:t>
      </w:r>
    </w:p>
    <w:p w14:paraId="01347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2、管理效率情况</w:t>
      </w:r>
    </w:p>
    <w:p w14:paraId="2BB36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2022年紧跟区政府战略，结合本部门职能，制定了本单位中长期发展目标。预算编制内容真实、完整、准确，按规定标准编制基本支出，项目预算测算依据充分。项目立项规范，设立依据充分，项目立项申报前都做好可行性研究、专家论证、风险评估、绩效评估、集体决策。预算调整率为0%。预算执行情况较好，结转结余准确，政府采购按规定采购，非税收入超额完成。项目申报事前开展绩效评估，填报绩效目标，依据充分符合客观事实，绩效运行监控范围覆盖所有项目，开展了部门自评。资产管理制度健全，制定了资产配置、使用、处置、收益等相关制度，每年做内部控制，处置规范，收入足额上缴。年初预算做好采购计划，新购资产按计划采购，做好入库登记。每年年底对资产进行盘点、对账、做到账实相符。建立了完善了财务管理，收入支出管理、往来资金结算，财务监管、政府采购管理、绩效管理等制度，制度合法、规范、完整。会计核算符合国家财经法规，按国家财务管理制度和专项资金管理有关规定来执行日常工作。资金使用符合国家财务制度，不截留、挤占、挪用、 虚列等情况发生，资金拨付有完整的审批程序和手续，公用经费没有超标准支出情况，基本支出和项目支出不存在交叉重复。</w:t>
      </w:r>
    </w:p>
    <w:p w14:paraId="5B4FAA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2、履职效能</w:t>
      </w:r>
    </w:p>
    <w:p w14:paraId="60748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可持续发展能力强，建立了服务型政府部门，行政体制改革完成，每年组织业务学习与培训不少于3次，干部队伍建设科学合理，人才储备、结构符合发展要求。成立了信息化建设中心，信息化人才辈出，利用信息化大大提高了开会，文件传送等工作效率。</w:t>
      </w:r>
    </w:p>
    <w:p w14:paraId="37148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3、满意度维度</w:t>
      </w:r>
    </w:p>
    <w:p w14:paraId="62A8D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截止到2022年第，我局出色完成了区政府年初制定的各项指标，受到服务群众和部门之间一致好评，群众满意度达到98%。</w:t>
      </w:r>
    </w:p>
    <w:p w14:paraId="33F6D6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二、 佐证材料</w:t>
      </w:r>
    </w:p>
    <w:p w14:paraId="2432F0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(一)基本情况</w:t>
      </w:r>
    </w:p>
    <w:p w14:paraId="0F6E6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1.部门支出情况简要概述</w:t>
      </w:r>
    </w:p>
    <w:p w14:paraId="73AB3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2022年我局部门决算支出共计13432.52万元，其中：基本支出2384.78万元，项目支出11047.74万元。</w:t>
      </w:r>
    </w:p>
    <w:p w14:paraId="29B7C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2、当年区委、区政府布置的重点工作。</w:t>
      </w:r>
    </w:p>
    <w:p w14:paraId="25E52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1.优化空间布局，发挥规划管控引领作用。一是积极配合市局编制区国土空间规划；二是积极编制乡镇国土空间规划；三是科学编制村庄规划；四是加快推进农村居民住房建设；五是助力自然生态公园城市建设；</w:t>
      </w:r>
    </w:p>
    <w:p w14:paraId="5BB22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2.坚持生态优先，构建自然资源保护新机制。一是落实最严格的耕地保护制度；二是扎实推进矿山生态修复；三是严格做好执法监察工作；四是完成第三次国土调查和开展自然资源统一确权登记收尾工作。五、完成2022年度国土变更调查</w:t>
      </w:r>
    </w:p>
    <w:p w14:paraId="760304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3.注重节约集约，服务经济社会高质量发展。一是强化项目用地保障；二是落实“亩产论英雄”机制；三是强化集约节约用地。</w:t>
      </w:r>
    </w:p>
    <w:p w14:paraId="5A6E8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4.强化示范引领，推动自然资源领域改革创新。一是积极推进“净矿权”出让；二是推进全域国土综合整治项目；三是推进农村土地承包经营权纳入不动产统一登记省级试点；四是推进全民所有自然资源资产清查省级试点。</w:t>
      </w:r>
    </w:p>
    <w:p w14:paraId="18ED5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5.聚焦民生实事，践行“我为群众办实事”。一是推进农村不动产登记发证；二是牵头解决包保泰业新城小区历史遗留问题；三是完成易地扶贫搬迁安置住房登记发证工作；四是推进地质灾害防治。</w:t>
      </w:r>
    </w:p>
    <w:p w14:paraId="41FAF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6.优化营商环境，打造为民服务新高地。一是政务服务事项改革；二是深化工程项目审批改革；三是优化不动产登记服务。</w:t>
      </w:r>
    </w:p>
    <w:p w14:paraId="76DA9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7.突出党建统领，筑牢基层党建创精品。一是压实党建工作主体责任；二是深入开展党风廉政建设；三是丰富党史学习教育载体；四是推进基层所标准化建设；五是深化基层社会治理。</w:t>
      </w:r>
    </w:p>
    <w:p w14:paraId="296B6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3、简要概述年度部门整体绩效目标。</w:t>
      </w:r>
    </w:p>
    <w:p w14:paraId="7DC19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根据中央、省、市、区文件要求，结合咸安市区经济发展的需要，聚焦自然资源管理主责主业，勇于担当，开拓创新，主动服务，较好完成了年初制定的各项工作任务，为市区经济社会高质量发展提供强有力的资源保障。</w:t>
      </w:r>
    </w:p>
    <w:p w14:paraId="1C672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（二 ）部门自评工作开展情况</w:t>
      </w:r>
    </w:p>
    <w:p w14:paraId="7491B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2022年6月2日，咸安区自然资源和规划局收到市局通知后，当日成立了绩效自评工作小组，工作小组成员如下：</w:t>
      </w:r>
    </w:p>
    <w:p w14:paraId="77F80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组长：宋任东（局长）</w:t>
      </w:r>
    </w:p>
    <w:p w14:paraId="3C025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副组长：王华冰（副局长）</w:t>
      </w:r>
    </w:p>
    <w:p w14:paraId="42612F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成员：彭涛（股长）、郑国（股长）、李光辉、陈军、张方卫、罗智权。</w:t>
      </w:r>
    </w:p>
    <w:p w14:paraId="4C1D2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绩效自评工作小组成立后，当天召开了工作小组成员工作会议。会上，组长宋任东（局长）进行了精心的工作安排，由于时间紧、任务重，作为工作纪律要求各小组成员积极组织与配合。在充分了解情况后，与绩效自评工作小组一起共同制订了绩效自评指标体系，根据绩效自评指标，向曹霞同志提供了《项目自评提供资料清单》，并到财务股查阅了项目资金相关的收支凭证。</w:t>
      </w:r>
    </w:p>
    <w:p w14:paraId="0F61B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2022年6月8日，项目自评需要的现有相关资料已收集完毕。评价人员对所有资料进行了整理，分类。通过汇总整理，进行定性、定量分析该项目的产出、实施效果，对照评价指标体系与评分标准，得出评价结论后，开始着手撰写《咸宁市咸安区自然资源和规划局2022年度部门整体支出绩效自评报告》。</w:t>
      </w:r>
    </w:p>
    <w:p w14:paraId="01D8C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300"/>
        <w:jc w:val="both"/>
      </w:pPr>
      <w:r>
        <w:rPr>
          <w:rFonts w:hint="eastAsia" w:ascii="仿宋" w:hAnsi="仿宋" w:eastAsia="仿宋" w:cs="仿宋"/>
          <w:sz w:val="30"/>
          <w:szCs w:val="30"/>
        </w:rPr>
        <w:t>简要概述部门自评组织实施过程等相关情况。</w:t>
      </w:r>
    </w:p>
    <w:p w14:paraId="467B2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00"/>
        <w:jc w:val="both"/>
      </w:pPr>
      <w:r>
        <w:rPr>
          <w:rFonts w:hint="eastAsia" w:ascii="仿宋" w:hAnsi="仿宋" w:eastAsia="仿宋" w:cs="仿宋"/>
          <w:sz w:val="30"/>
          <w:szCs w:val="30"/>
        </w:rPr>
        <w:t>我局积极制定完善的内部管理制度，形成了一整套完整、有效的机关管理制度，为有效地发挥预决算分配和监督职能，强化预决算管理，提高资金使用效益，保障和促进自然资源和规划事业的发展起到了积极保障作用。例如：根据《中华人民共和国预算法》和《中华人民共和国会计法》等文件精神，制定了《预决算管理制度》；为了规范全局经费支出行为，提倡勤俭节约，制止奢侈浪费，加强党风廉政建设，根据中央、省、市、区厉行节约有关规定以及国家有关法律、法规和政策，制定了《支出管理制度》；为确保单位各项资产的安全有效使用、资金的安全运行，提高资金的使用效率，保障本单位财务会计管理的合法合规，财务报告及相关信息真实完整，制定了《国有资产管理制度》、《固定资产管理制度》、《财务会计内部控制制度》、《政府采购管理制度》；为规范合同订立行为，防范和降低合同签订带来的风险，制定了《合同管理制度》。</w:t>
      </w:r>
    </w:p>
    <w:p w14:paraId="043E2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00"/>
        <w:jc w:val="both"/>
      </w:pPr>
      <w:r>
        <w:rPr>
          <w:rFonts w:hint="eastAsia" w:ascii="仿宋" w:hAnsi="仿宋" w:eastAsia="仿宋" w:cs="仿宋"/>
          <w:sz w:val="30"/>
          <w:szCs w:val="30"/>
        </w:rPr>
        <w:t>在资金使用上，严格遵守各项财经法规和财务管理制度规定，严格管理专项资金，坚持专款专用，各项目均通过财政预算单位财务服务平台进行转账单独核算。资金拨付有完整的审批程序和手续，支出符合部门预算批复的用途，无截留、挤占、挪用、虚列支出等情况。</w:t>
      </w:r>
    </w:p>
    <w:p w14:paraId="623FD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(三)绩效目标完成情况分析</w:t>
      </w:r>
    </w:p>
    <w:p w14:paraId="129B2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1.运行成本指标完成情况详细分析。</w:t>
      </w:r>
    </w:p>
    <w:p w14:paraId="3EA9E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公用经费控制，按照2022年度决算报表公用经费支出613.65万元，年初预算公用经费安排406.65万元，公用经费控制率50.9%。</w:t>
      </w:r>
    </w:p>
    <w:p w14:paraId="171D5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      在职人员控制，按照咸安办文【2019】20号文件我局定编行政编制24人，工勤2人，事业编                 </w:t>
      </w:r>
    </w:p>
    <w:p w14:paraId="5DC02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 </w:t>
      </w:r>
    </w:p>
    <w:p w14:paraId="06061B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制69人，在职共95人。截止到2022年底在职人数95人，在职人员控制率100%。</w:t>
      </w:r>
    </w:p>
    <w:p w14:paraId="700FF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项目支出成本控制 会议费控制率，2022年度我局没有发生会议费，会议费控制率为100%。“三公”经费本年度预算安排64万元，上年度安排65.78万元，三公经费变动率-2.7%。</w:t>
      </w:r>
    </w:p>
    <w:p w14:paraId="243FF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    2、管理效率指标完成情况详细分析。</w:t>
      </w:r>
    </w:p>
    <w:p w14:paraId="7DFB4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战略管理</w:t>
      </w:r>
    </w:p>
    <w:p w14:paraId="07E99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pPr>
      <w:r>
        <w:rPr>
          <w:rFonts w:hint="eastAsia" w:ascii="仿宋" w:hAnsi="仿宋" w:eastAsia="仿宋" w:cs="仿宋"/>
          <w:sz w:val="30"/>
          <w:szCs w:val="30"/>
        </w:rPr>
        <w:t>我局根据区委、区政府战略规划，编制了2021-2035年中长期规划，工作计划具体、健全、明确，与部门职能和中长期规划相匹配。</w:t>
      </w:r>
    </w:p>
    <w:p w14:paraId="2BC85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预算编制</w:t>
      </w:r>
    </w:p>
    <w:p w14:paraId="30A9D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预算编制开始，先通知股室负责人开会，传达每年预算编制情况，规范要求，尽力做到科学，合理；项目立项规范，依据充分，事前有可行性研究，专家论证，风险评估，绩效评估，集体决策。2022年度预算数5119.92万元，调整数为0，预算调整率为0，预算调整率为0。</w:t>
      </w:r>
    </w:p>
    <w:p w14:paraId="347FB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预算执行</w:t>
      </w:r>
    </w:p>
    <w:p w14:paraId="2135B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预算情况好，执行率100%，结转结余率0%，政府采购本年度实际采购金额11059.2万元，预算采购金额306.9万元，政府采购执行率为100%；2022年度非税收入实际完成13187.2万元，非税预算数4002万元，非税收入完成率100%。2022年度300万元以上项目1个，预算数为3000万元，做了事前绩效评估，事前绩效评估率100%。</w:t>
      </w:r>
    </w:p>
    <w:p w14:paraId="12041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绩效管理</w:t>
      </w:r>
    </w:p>
    <w:p w14:paraId="4C2807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绩效目标合理，项目设置了绩效目标和整体绩效目标。绩效目标符合客观实际和我局中长期规划和年度工作计划相符。绩效监控开展率2022年绩效运行监控的范围覆盖所有项目支出，十按期完成绩效运行监控汇总分析工作。绩效评价覆盖率2022年度项目自评包括已对所有项目，及一、二级项目，开展了对部门整体绩效自评工作。评价结果应用率，我局根据自评和财政评价结果进行整改，对以前年度评价结果在本年度编制预算时进行运用。</w:t>
      </w:r>
    </w:p>
    <w:p w14:paraId="2059C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资产管理</w:t>
      </w:r>
    </w:p>
    <w:p w14:paraId="719C6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我局资产管理制度齐全，制定了资产配置、使用、处置、收益等相关制度，制定了资产内部控制和操作流程。资产保存完整，使用合规，配置合理处置规范收入足额上缴财政，新入库资产编制采购计划采购审核，入库验收制度。每年底对资产盘点、对账、做到资产与账数据一致。资产有偿使用和资产处置规范，收入足额上缴。</w:t>
      </w:r>
    </w:p>
    <w:p w14:paraId="036E0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财务管理</w:t>
      </w:r>
    </w:p>
    <w:p w14:paraId="6DBCD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财务管理制度健全，财务建立了内控制度，财务合法、合规、完整。资金符合国家财经法规和财务管理制度，没有截留、挤占、挪用、虚列支出情况，资金拨付手续、程序规范，公用经费没有超出情况，没有项目支出与公用经费支出交叉重复。</w:t>
      </w:r>
    </w:p>
    <w:p w14:paraId="30ED12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3、履职效能指标完成情况详细分析。</w:t>
      </w:r>
    </w:p>
    <w:p w14:paraId="314E2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村庄规划编制完成，矿山生态修复项目正在竣工决算，向阳湖和高桥国土空间生态修复项目已竣工。</w:t>
      </w:r>
    </w:p>
    <w:p w14:paraId="53FAA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4、社会效应指标完成情况详细分析。</w:t>
      </w:r>
    </w:p>
    <w:p w14:paraId="6D938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向阳湖国土空间生态修复项目通过整治，可以腾出指标4000亩，产生经济效益28个亿。生态环境明显改善，空气质量提高。矿山修复项目竣工后，生态环境明显改善。</w:t>
      </w:r>
    </w:p>
    <w:p w14:paraId="26E19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5、可持续发展能力指标完成情况详细分析。</w:t>
      </w:r>
    </w:p>
    <w:p w14:paraId="05184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体制改革完成，建成服务型政府，机构、职能、权力、责任、程序法定化。每年完成业务培训3次，业务学习开展有序，每年不低于3次，干部队伍素质提高，都具有大专文凭，人才储备机制完善。信息化系统建设完备，利用新技术提高工作效率。</w:t>
      </w:r>
    </w:p>
    <w:p w14:paraId="2B7E2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6、满意度指标完成情况详细分析。</w:t>
      </w:r>
    </w:p>
    <w:p w14:paraId="63507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0"/>
      </w:pPr>
      <w:r>
        <w:rPr>
          <w:rFonts w:hint="eastAsia" w:ascii="仿宋" w:hAnsi="仿宋" w:eastAsia="仿宋" w:cs="仿宋"/>
          <w:sz w:val="30"/>
          <w:szCs w:val="30"/>
        </w:rPr>
        <w:t>服务群众态度明显提升，解决群众困难，群众满意度达到95%。</w:t>
      </w:r>
    </w:p>
    <w:p w14:paraId="03382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(四)存在的其他问题和原因</w:t>
      </w:r>
    </w:p>
    <w:p w14:paraId="32A82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绩效评价是一项新的工作，单位领导还没有重视，业务水平还有待提高，加强绩效评价方面知识学习，不断提高业务水平。</w:t>
      </w:r>
    </w:p>
    <w:p w14:paraId="5F2DC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z w:val="30"/>
          <w:szCs w:val="30"/>
        </w:rPr>
        <w:t>（五）上年度部门整体部门自评结果应用情况下一步改进措施</w:t>
      </w:r>
    </w:p>
    <w:p w14:paraId="71DDF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00"/>
        <w:jc w:val="both"/>
      </w:pPr>
      <w:r>
        <w:rPr>
          <w:rFonts w:hint="eastAsia" w:ascii="仿宋" w:hAnsi="仿宋" w:eastAsia="仿宋" w:cs="仿宋"/>
          <w:sz w:val="30"/>
          <w:szCs w:val="30"/>
        </w:rPr>
        <w:t>在编制部门预算时，会同咸安区财政局对口科室，对部门预算的收支情况进行科学分析和汇总，提高部门预算编制的科学性和预算执行的准确性，避免年中大幅度调整预算的现象。</w:t>
      </w:r>
    </w:p>
    <w:p w14:paraId="08172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60" w:right="0" w:firstLine="585"/>
      </w:pPr>
      <w:r>
        <w:rPr>
          <w:rStyle w:val="6"/>
          <w:rFonts w:hint="eastAsia" w:ascii="仿宋" w:hAnsi="仿宋" w:eastAsia="仿宋" w:cs="仿宋"/>
          <w:sz w:val="30"/>
          <w:szCs w:val="30"/>
        </w:rPr>
        <w:t>（一）</w:t>
      </w:r>
      <w:r>
        <w:rPr>
          <w:rFonts w:hint="eastAsia" w:ascii="仿宋" w:hAnsi="仿宋" w:eastAsia="仿宋" w:cs="仿宋"/>
          <w:sz w:val="30"/>
          <w:szCs w:val="30"/>
        </w:rPr>
        <w:t>拟与预算安排相结合情况</w:t>
      </w:r>
    </w:p>
    <w:p w14:paraId="4888C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00"/>
        <w:jc w:val="both"/>
      </w:pPr>
      <w:r>
        <w:rPr>
          <w:rFonts w:hint="eastAsia" w:ascii="仿宋" w:hAnsi="仿宋" w:eastAsia="仿宋" w:cs="仿宋"/>
          <w:sz w:val="30"/>
          <w:szCs w:val="30"/>
        </w:rPr>
        <w:t>通过对部门整体绩效指标完成情况的绩效自评，将对照绩效自评结果总结经验，改进以后年度绩效管理制度，提高绩效管理水平和资金使用效率。</w:t>
      </w:r>
    </w:p>
    <w:p w14:paraId="5AFEE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00"/>
      </w:pPr>
      <w:r>
        <w:rPr>
          <w:rFonts w:hint="eastAsia" w:ascii="仿宋" w:hAnsi="仿宋" w:eastAsia="仿宋" w:cs="仿宋"/>
          <w:sz w:val="30"/>
          <w:szCs w:val="30"/>
        </w:rPr>
        <w:t>（三）</w:t>
      </w:r>
      <w:r>
        <w:rPr>
          <w:rStyle w:val="6"/>
          <w:rFonts w:hint="eastAsia" w:ascii="仿宋" w:hAnsi="仿宋" w:eastAsia="仿宋" w:cs="仿宋"/>
          <w:sz w:val="30"/>
          <w:szCs w:val="30"/>
        </w:rPr>
        <w:t>拟公开情况</w:t>
      </w:r>
    </w:p>
    <w:p w14:paraId="43411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sz w:val="30"/>
          <w:szCs w:val="30"/>
        </w:rPr>
        <w:t>本次绩效自评结果，绩效自评工作小组将向全局公开、讨论，总结经验，以便更加科学、规范的管理资金，为提高资金的社会、经济效益提供借鉴和参考。</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7"/>
        <w:gridCol w:w="1073"/>
        <w:gridCol w:w="1084"/>
        <w:gridCol w:w="827"/>
        <w:gridCol w:w="802"/>
        <w:gridCol w:w="933"/>
        <w:gridCol w:w="1099"/>
        <w:gridCol w:w="522"/>
        <w:gridCol w:w="679"/>
        <w:gridCol w:w="880"/>
      </w:tblGrid>
      <w:tr w14:paraId="078871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trPr>
        <w:tc>
          <w:tcPr>
            <w:tcW w:w="8516" w:type="dxa"/>
            <w:gridSpan w:val="10"/>
            <w:tcBorders>
              <w:top w:val="single" w:color="72A7BB" w:sz="6" w:space="0"/>
              <w:left w:val="single" w:color="72A7BB" w:sz="6" w:space="0"/>
              <w:bottom w:val="single" w:color="72A7BB" w:sz="6" w:space="0"/>
              <w:right w:val="single" w:color="72A7BB" w:sz="6" w:space="0"/>
            </w:tcBorders>
            <w:shd w:val="clear" w:color="auto" w:fill="CEE1E8"/>
            <w:tcMar>
              <w:top w:w="0" w:type="dxa"/>
              <w:left w:w="105" w:type="dxa"/>
              <w:bottom w:w="0" w:type="dxa"/>
              <w:right w:w="105" w:type="dxa"/>
            </w:tcMar>
            <w:vAlign w:val="center"/>
          </w:tcPr>
          <w:p w14:paraId="720BA2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6"/>
                <w:rFonts w:ascii="CESI仿宋-GB2312" w:hAnsi="CESI仿宋-GB2312" w:eastAsia="CESI仿宋-GB2312" w:cs="CESI仿宋-GB2312"/>
                <w:sz w:val="36"/>
                <w:szCs w:val="36"/>
              </w:rPr>
              <w:t>2022年度自然资源和规划局部门整体绩效自评表</w:t>
            </w:r>
          </w:p>
        </w:tc>
      </w:tr>
      <w:tr w14:paraId="201DAB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690" w:type="dxa"/>
            <w:gridSpan w:val="2"/>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96A0F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4"/>
                <w:szCs w:val="24"/>
              </w:rPr>
              <w:t>单位名称：</w:t>
            </w:r>
          </w:p>
        </w:tc>
        <w:tc>
          <w:tcPr>
            <w:tcW w:w="1084"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51318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咸安区自然资源和规划局</w:t>
            </w:r>
          </w:p>
        </w:tc>
        <w:tc>
          <w:tcPr>
            <w:tcW w:w="827"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989340B">
            <w:pPr>
              <w:keepNext w:val="0"/>
              <w:keepLines w:val="0"/>
              <w:widowControl/>
              <w:suppressLineNumbers w:val="0"/>
              <w:wordWrap w:val="0"/>
              <w:spacing w:before="0" w:beforeAutospacing="0" w:after="0" w:afterAutospacing="0"/>
              <w:ind w:left="0" w:right="0"/>
              <w:jc w:val="left"/>
            </w:pPr>
          </w:p>
        </w:tc>
        <w:tc>
          <w:tcPr>
            <w:tcW w:w="802"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6DA7AC2">
            <w:pPr>
              <w:keepNext w:val="0"/>
              <w:keepLines w:val="0"/>
              <w:widowControl/>
              <w:suppressLineNumbers w:val="0"/>
              <w:wordWrap w:val="0"/>
              <w:spacing w:before="0" w:beforeAutospacing="0" w:after="0" w:afterAutospacing="0"/>
              <w:ind w:left="0" w:right="0"/>
              <w:jc w:val="left"/>
            </w:pPr>
          </w:p>
        </w:tc>
        <w:tc>
          <w:tcPr>
            <w:tcW w:w="933"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C8FA367">
            <w:pPr>
              <w:keepNext w:val="0"/>
              <w:keepLines w:val="0"/>
              <w:widowControl/>
              <w:suppressLineNumbers w:val="0"/>
              <w:wordWrap w:val="0"/>
              <w:spacing w:before="0" w:beforeAutospacing="0" w:after="0" w:afterAutospacing="0"/>
              <w:ind w:left="0" w:right="0"/>
              <w:jc w:val="left"/>
            </w:pPr>
          </w:p>
        </w:tc>
        <w:tc>
          <w:tcPr>
            <w:tcW w:w="1621" w:type="dxa"/>
            <w:gridSpan w:val="2"/>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C4671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4"/>
                <w:szCs w:val="24"/>
              </w:rPr>
              <w:t>填报日期：</w:t>
            </w:r>
          </w:p>
        </w:tc>
        <w:tc>
          <w:tcPr>
            <w:tcW w:w="679"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FAFA3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2023-07-13</w:t>
            </w:r>
          </w:p>
        </w:tc>
        <w:tc>
          <w:tcPr>
            <w:tcW w:w="880"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1FB663A">
            <w:pPr>
              <w:keepNext w:val="0"/>
              <w:keepLines w:val="0"/>
              <w:widowControl/>
              <w:suppressLineNumbers w:val="0"/>
              <w:wordWrap w:val="0"/>
              <w:spacing w:before="0" w:beforeAutospacing="0" w:after="0" w:afterAutospacing="0"/>
              <w:ind w:left="0" w:right="0"/>
              <w:jc w:val="left"/>
            </w:pPr>
          </w:p>
        </w:tc>
      </w:tr>
      <w:tr w14:paraId="481A3F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1690" w:type="dxa"/>
            <w:gridSpan w:val="2"/>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4007DB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单位名称</w:t>
            </w:r>
          </w:p>
        </w:tc>
        <w:tc>
          <w:tcPr>
            <w:tcW w:w="6826" w:type="dxa"/>
            <w:gridSpan w:val="8"/>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F999F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咸安区自然资源和规划局</w:t>
            </w:r>
          </w:p>
        </w:tc>
      </w:tr>
      <w:tr w14:paraId="2BF0E5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1690" w:type="dxa"/>
            <w:gridSpan w:val="2"/>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027580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基本支出总额</w:t>
            </w:r>
          </w:p>
        </w:tc>
        <w:tc>
          <w:tcPr>
            <w:tcW w:w="3646" w:type="dxa"/>
            <w:gridSpan w:val="4"/>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A7A43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23847820.26</w:t>
            </w:r>
          </w:p>
        </w:tc>
        <w:tc>
          <w:tcPr>
            <w:tcW w:w="1621" w:type="dxa"/>
            <w:gridSpan w:val="2"/>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89CFA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项目支出总额</w:t>
            </w:r>
          </w:p>
        </w:tc>
        <w:tc>
          <w:tcPr>
            <w:tcW w:w="1559" w:type="dxa"/>
            <w:gridSpan w:val="2"/>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BECCE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110477383.44</w:t>
            </w:r>
          </w:p>
        </w:tc>
      </w:tr>
      <w:tr w14:paraId="69A9FE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1690" w:type="dxa"/>
            <w:gridSpan w:val="2"/>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9DCDF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年度目标：</w:t>
            </w:r>
          </w:p>
        </w:tc>
        <w:tc>
          <w:tcPr>
            <w:tcW w:w="6826" w:type="dxa"/>
            <w:gridSpan w:val="8"/>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7698A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完成自然资源和规划局职能和区政府交办事项</w:t>
            </w:r>
          </w:p>
        </w:tc>
      </w:tr>
      <w:tr w14:paraId="010C65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617" w:type="dxa"/>
            <w:vMerge w:val="restart"/>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6010F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年度绩效指标</w:t>
            </w:r>
          </w:p>
        </w:tc>
        <w:tc>
          <w:tcPr>
            <w:tcW w:w="107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4C1F7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一级指标</w:t>
            </w:r>
          </w:p>
        </w:tc>
        <w:tc>
          <w:tcPr>
            <w:tcW w:w="1084"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85EC7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二级指标</w:t>
            </w:r>
          </w:p>
        </w:tc>
        <w:tc>
          <w:tcPr>
            <w:tcW w:w="827"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1B468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三级指标</w:t>
            </w:r>
          </w:p>
        </w:tc>
        <w:tc>
          <w:tcPr>
            <w:tcW w:w="802"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D1D13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指标分类</w:t>
            </w:r>
          </w:p>
        </w:tc>
        <w:tc>
          <w:tcPr>
            <w:tcW w:w="933"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75B0C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指标权重</w:t>
            </w:r>
          </w:p>
        </w:tc>
        <w:tc>
          <w:tcPr>
            <w:tcW w:w="1099"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5353F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年初目标值(A)</w:t>
            </w:r>
          </w:p>
        </w:tc>
        <w:tc>
          <w:tcPr>
            <w:tcW w:w="1201" w:type="dxa"/>
            <w:gridSpan w:val="2"/>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ED96E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实际完成值</w:t>
            </w:r>
          </w:p>
          <w:p w14:paraId="367C4F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(B)</w:t>
            </w:r>
          </w:p>
        </w:tc>
        <w:tc>
          <w:tcPr>
            <w:tcW w:w="880"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9CE3A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得分</w:t>
            </w:r>
          </w:p>
        </w:tc>
      </w:tr>
      <w:tr w14:paraId="1A7488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DA85F4D">
            <w:pPr>
              <w:rPr>
                <w:rFonts w:hint="eastAsia" w:ascii="宋体"/>
                <w:sz w:val="24"/>
                <w:szCs w:val="24"/>
              </w:rPr>
            </w:pPr>
          </w:p>
        </w:tc>
        <w:tc>
          <w:tcPr>
            <w:tcW w:w="107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0A6AB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运行成本（8）</w:t>
            </w: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75249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公用经费控制（2）</w:t>
            </w:r>
          </w:p>
        </w:tc>
        <w:tc>
          <w:tcPr>
            <w:tcW w:w="827"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FDCFE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公用经费控制率</w:t>
            </w:r>
          </w:p>
        </w:tc>
        <w:tc>
          <w:tcPr>
            <w:tcW w:w="802"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67D4B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绩效基本型</w:t>
            </w:r>
          </w:p>
        </w:tc>
        <w:tc>
          <w:tcPr>
            <w:tcW w:w="93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68B5E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4F189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43CE0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219%</w:t>
            </w:r>
          </w:p>
        </w:tc>
        <w:tc>
          <w:tcPr>
            <w:tcW w:w="880"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C3274EE">
            <w:pPr>
              <w:keepNext w:val="0"/>
              <w:keepLines w:val="0"/>
              <w:widowControl/>
              <w:suppressLineNumbers w:val="0"/>
              <w:wordWrap w:val="0"/>
              <w:spacing w:before="0" w:beforeAutospacing="0" w:after="0" w:afterAutospacing="0"/>
              <w:ind w:left="0" w:right="0"/>
              <w:jc w:val="left"/>
            </w:pPr>
          </w:p>
        </w:tc>
      </w:tr>
      <w:tr w14:paraId="113354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77EEF1CD">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3B5549E">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BFF0B81">
            <w:pPr>
              <w:rPr>
                <w:rFonts w:hint="eastAsia" w:ascii="宋体"/>
                <w:sz w:val="24"/>
                <w:szCs w:val="24"/>
              </w:rPr>
            </w:pPr>
          </w:p>
        </w:tc>
        <w:tc>
          <w:tcPr>
            <w:tcW w:w="827"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642E23C">
            <w:pPr>
              <w:rPr>
                <w:rFonts w:hint="eastAsia" w:ascii="宋体"/>
                <w:sz w:val="24"/>
                <w:szCs w:val="24"/>
              </w:rPr>
            </w:pPr>
          </w:p>
        </w:tc>
        <w:tc>
          <w:tcPr>
            <w:tcW w:w="802"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CF02503">
            <w:pPr>
              <w:rPr>
                <w:rFonts w:hint="eastAsia" w:ascii="宋体"/>
                <w:sz w:val="24"/>
                <w:szCs w:val="24"/>
              </w:rPr>
            </w:pPr>
          </w:p>
        </w:tc>
        <w:tc>
          <w:tcPr>
            <w:tcW w:w="93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E36477A">
            <w:pPr>
              <w:rPr>
                <w:rFonts w:hint="eastAsia" w:ascii="宋体"/>
                <w:sz w:val="24"/>
                <w:szCs w:val="24"/>
              </w:rPr>
            </w:pPr>
          </w:p>
        </w:tc>
        <w:tc>
          <w:tcPr>
            <w:tcW w:w="1099"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9928338">
            <w:pPr>
              <w:rPr>
                <w:rFonts w:hint="eastAsia" w:ascii="宋体"/>
                <w:sz w:val="24"/>
                <w:szCs w:val="24"/>
              </w:rPr>
            </w:pPr>
          </w:p>
        </w:tc>
        <w:tc>
          <w:tcPr>
            <w:tcW w:w="1201" w:type="dxa"/>
            <w:gridSpan w:val="2"/>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B551FFA">
            <w:pPr>
              <w:rPr>
                <w:rFonts w:hint="eastAsia" w:ascii="宋体"/>
                <w:sz w:val="24"/>
                <w:szCs w:val="24"/>
              </w:rPr>
            </w:pPr>
          </w:p>
        </w:tc>
        <w:tc>
          <w:tcPr>
            <w:tcW w:w="880"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F27908D">
            <w:pPr>
              <w:rPr>
                <w:rFonts w:hint="eastAsia" w:ascii="宋体"/>
                <w:sz w:val="24"/>
                <w:szCs w:val="24"/>
              </w:rPr>
            </w:pPr>
          </w:p>
        </w:tc>
      </w:tr>
      <w:tr w14:paraId="7BCDD7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7DC0C9FD">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C328073">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810B6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在职人员控制（2）</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3E08C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在职人员控制率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C20C2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CD6A8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0A6B0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F971B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C23B9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r>
      <w:tr w14:paraId="05F28F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79974078">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37CED4A">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C3194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项目支出成本控制（4）</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709DA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会议费控制率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F3324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202E2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0E3B7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1D320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5DC1D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r>
      <w:tr w14:paraId="4A51CA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5E3A575">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5337E09">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AA83E56">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ADEA5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“三公</w:t>
            </w:r>
            <w:r>
              <w:rPr>
                <w:rFonts w:hint="default" w:ascii="CESI仿宋-GB2312" w:hAnsi="CESI仿宋-GB2312" w:eastAsia="CESI仿宋-GB2312" w:cs="CESI仿宋-GB2312"/>
                <w:sz w:val="21"/>
                <w:szCs w:val="21"/>
              </w:rPr>
              <w:t>”</w:t>
            </w:r>
            <w:bookmarkStart w:id="0" w:name="_GoBack"/>
            <w:bookmarkEnd w:id="0"/>
            <w:r>
              <w:rPr>
                <w:rFonts w:hint="default" w:ascii="CESI仿宋-GB2312" w:hAnsi="CESI仿宋-GB2312" w:eastAsia="CESI仿宋-GB2312" w:cs="CESI仿宋-GB2312"/>
                <w:sz w:val="21"/>
                <w:szCs w:val="21"/>
              </w:rPr>
              <w:t>经费变动率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75700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3A014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FEDC9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663C3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-2.7%</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67FE4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r>
      <w:tr w14:paraId="5F066F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1637CC1C">
            <w:pPr>
              <w:rPr>
                <w:rFonts w:hint="eastAsia" w:ascii="宋体"/>
                <w:sz w:val="24"/>
                <w:szCs w:val="24"/>
              </w:rPr>
            </w:pPr>
          </w:p>
        </w:tc>
        <w:tc>
          <w:tcPr>
            <w:tcW w:w="107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1745B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管理效率（22）</w:t>
            </w: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FECA9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战略管理（2）</w:t>
            </w:r>
          </w:p>
        </w:tc>
        <w:tc>
          <w:tcPr>
            <w:tcW w:w="827"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CDA65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中长期规划相符性</w:t>
            </w:r>
          </w:p>
        </w:tc>
        <w:tc>
          <w:tcPr>
            <w:tcW w:w="802"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B8199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p w14:paraId="36480B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ascii="仿宋_GB2312" w:eastAsia="仿宋_GB2312" w:cs="仿宋_GB2312"/>
                <w:sz w:val="31"/>
                <w:szCs w:val="31"/>
              </w:rPr>
              <w:t> </w:t>
            </w:r>
          </w:p>
        </w:tc>
        <w:tc>
          <w:tcPr>
            <w:tcW w:w="93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C6DF7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4FCC3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相符</w:t>
            </w:r>
          </w:p>
        </w:tc>
        <w:tc>
          <w:tcPr>
            <w:tcW w:w="1201" w:type="dxa"/>
            <w:gridSpan w:val="2"/>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8164F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相符</w:t>
            </w:r>
          </w:p>
        </w:tc>
        <w:tc>
          <w:tcPr>
            <w:tcW w:w="880"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262EA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6C4EE9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E1F06BA">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DB25EC4">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DCABF33">
            <w:pPr>
              <w:rPr>
                <w:rFonts w:hint="eastAsia" w:ascii="宋体"/>
                <w:sz w:val="24"/>
                <w:szCs w:val="24"/>
              </w:rPr>
            </w:pPr>
          </w:p>
        </w:tc>
        <w:tc>
          <w:tcPr>
            <w:tcW w:w="827"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95FECC5">
            <w:pPr>
              <w:rPr>
                <w:rFonts w:hint="eastAsia" w:ascii="宋体"/>
                <w:sz w:val="24"/>
                <w:szCs w:val="24"/>
              </w:rPr>
            </w:pPr>
          </w:p>
        </w:tc>
        <w:tc>
          <w:tcPr>
            <w:tcW w:w="802"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E0821AF">
            <w:pPr>
              <w:rPr>
                <w:rFonts w:hint="eastAsia" w:ascii="宋体"/>
                <w:sz w:val="24"/>
                <w:szCs w:val="24"/>
              </w:rPr>
            </w:pPr>
          </w:p>
        </w:tc>
        <w:tc>
          <w:tcPr>
            <w:tcW w:w="93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CF9885C">
            <w:pPr>
              <w:rPr>
                <w:rFonts w:hint="eastAsia" w:ascii="宋体"/>
                <w:sz w:val="24"/>
                <w:szCs w:val="24"/>
              </w:rPr>
            </w:pPr>
          </w:p>
        </w:tc>
        <w:tc>
          <w:tcPr>
            <w:tcW w:w="1099"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1776191">
            <w:pPr>
              <w:rPr>
                <w:rFonts w:hint="eastAsia" w:ascii="宋体"/>
                <w:sz w:val="24"/>
                <w:szCs w:val="24"/>
              </w:rPr>
            </w:pPr>
          </w:p>
        </w:tc>
        <w:tc>
          <w:tcPr>
            <w:tcW w:w="1201" w:type="dxa"/>
            <w:gridSpan w:val="2"/>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E67D4B2">
            <w:pPr>
              <w:rPr>
                <w:rFonts w:hint="eastAsia" w:ascii="宋体"/>
                <w:sz w:val="24"/>
                <w:szCs w:val="24"/>
              </w:rPr>
            </w:pPr>
          </w:p>
        </w:tc>
        <w:tc>
          <w:tcPr>
            <w:tcW w:w="880"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704C088">
            <w:pPr>
              <w:rPr>
                <w:rFonts w:hint="eastAsia" w:ascii="宋体"/>
                <w:sz w:val="24"/>
                <w:szCs w:val="24"/>
              </w:rPr>
            </w:pPr>
          </w:p>
        </w:tc>
      </w:tr>
      <w:tr w14:paraId="4B7E42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AC3D3EB">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F0CB82E">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90F6023">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A174B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工作计划健全性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9F892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847FE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D4A87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健全</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9FFC0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健全</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1C89F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505CCD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429D72B6">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B212A91">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CD0CD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预算编制（5）</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442F1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预算编制科学性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F4B4C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ED5D6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E451F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预算编制科学</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230E5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预算编制科学</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0FB6E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27199B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6C4006CD">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E740776">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2B60DB5">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7DBF0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预算编制合理性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3E1EA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3EBFB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8501A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预算编制合理</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34960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预算编制合理</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3F34C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77E7DD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4685C57">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940A745">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45E6CB9">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271EC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立项规范性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9ADD4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01A9B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C67FF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规范</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6B59B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规范</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6A109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48158B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A30C1AA">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C553117">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E414762">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89FB6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预算调整率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16F76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DE1BF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990D3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BAE1D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AE2DB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r>
      <w:tr w14:paraId="09AEF7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E8DBAC9">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8CEB682">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A0590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预算执行（5）</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11912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预算执行率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674E3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BA0AE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5F2AE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6EB28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1592B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r>
      <w:tr w14:paraId="57F1EF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4E18D28B">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3592285">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08208FD">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CAE6B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结转结余率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C614F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E306A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AD81E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A8533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2205C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1FBE16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4DB27E9">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13A3540">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2320209">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DA89A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政府采购执行率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13281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B21CF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65A25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039A7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E7593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02F314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452845FD">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D81DFB9">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B13FD01">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7918A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非税收入预算完成率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A3507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FE70F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73B72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C29D4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329%</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57A2C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r>
      <w:tr w14:paraId="664FB5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6EB0126">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B85E4E4">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97B7E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绩效管理</w:t>
            </w:r>
            <w:r>
              <w:rPr>
                <w:rFonts w:hint="default" w:ascii="CESI仿宋-GB2312" w:hAnsi="CESI仿宋-GB2312" w:eastAsia="CESI仿宋-GB2312" w:cs="CESI仿宋-GB2312"/>
                <w:sz w:val="21"/>
                <w:szCs w:val="21"/>
              </w:rPr>
              <w:t>（5）</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87A0D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事前绩效评估完成率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C50D0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2A292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0C9EF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F0D56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5F370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065493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62FA7461">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56A586C">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12E7C81">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8419F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绩效目标合理性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2A6BB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37A21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4D355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合理</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C3A29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合理</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4BE0D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23B981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4FEC86D9">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2D41000">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4A84C49">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AA224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绩效监控开展率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EDC46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46096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87BF0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6D91C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5664B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2AF27A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17BEF88A">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D2EC81C">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250D056">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91342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绩效评价覆盖率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685BA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31568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4E3A5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4C2AB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CA81B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675532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FAA4DB7">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81E8F7F">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DFF4BA5">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45DB6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评价结果应 用率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C2A23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DD7D8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F1D8D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96%</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44790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96%</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028EA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2DE498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33D5F8A">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679EDFA">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6B771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资产管理</w:t>
            </w:r>
            <w:r>
              <w:rPr>
                <w:rFonts w:hint="default" w:ascii="CESI仿宋-GB2312" w:hAnsi="CESI仿宋-GB2312" w:eastAsia="CESI仿宋-GB2312" w:cs="CESI仿宋-GB2312"/>
                <w:sz w:val="21"/>
                <w:szCs w:val="21"/>
              </w:rPr>
              <w:t>（2）</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A4CA9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资产管理制度健全性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F6D99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50700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4884D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健全</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C80BD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健全</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DA1D3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2C1DC1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B86F60B">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42D89CC">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659DA6A">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BC08F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资产管理规范性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2CC50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0D05A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98761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规范</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89809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规范</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813B7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596297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0975D7B">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806938C">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3A858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财务管理</w:t>
            </w:r>
            <w:r>
              <w:rPr>
                <w:rFonts w:hint="default" w:ascii="CESI仿宋-GB2312" w:hAnsi="CESI仿宋-GB2312" w:eastAsia="CESI仿宋-GB2312" w:cs="CESI仿宋-GB2312"/>
                <w:sz w:val="21"/>
                <w:szCs w:val="21"/>
              </w:rPr>
              <w:t>（3）</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3984A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财务管理制度健全性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862D8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84F58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C9AB8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健全</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44E18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健全</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332BD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0C71A2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1B9515C7">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19E90D6">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A48FDD1">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90DD6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会计核算规范性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1D32D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16CE3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F542B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规范</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818B8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规范</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93A15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3697E4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672CA82F">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A5DC2D8">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15716B9">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FF08E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资金使用合规性</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1FBA4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资金使用合规</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5BF95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E818D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合规</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86B36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合规</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F93BD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45D61D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452ED94D">
            <w:pPr>
              <w:rPr>
                <w:rFonts w:hint="eastAsia" w:ascii="宋体"/>
                <w:sz w:val="24"/>
                <w:szCs w:val="24"/>
              </w:rPr>
            </w:pPr>
          </w:p>
        </w:tc>
        <w:tc>
          <w:tcPr>
            <w:tcW w:w="107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39CE4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履职效能</w:t>
            </w:r>
            <w:r>
              <w:rPr>
                <w:rFonts w:hint="default" w:ascii="CESI仿宋-GB2312" w:hAnsi="CESI仿宋-GB2312" w:eastAsia="CESI仿宋-GB2312" w:cs="CESI仿宋-GB2312"/>
                <w:sz w:val="21"/>
                <w:szCs w:val="21"/>
              </w:rPr>
              <w:t>（50）</w:t>
            </w: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BBDAD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核心业务 产出1</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51B95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pPr>
            <w:r>
              <w:rPr>
                <w:rFonts w:hint="default" w:ascii="CESI仿宋-GB2312" w:hAnsi="CESI仿宋-GB2312" w:eastAsia="CESI仿宋-GB2312" w:cs="CESI仿宋-GB2312"/>
                <w:sz w:val="10"/>
                <w:szCs w:val="10"/>
              </w:rPr>
              <w:t>完成村庄规划编制</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EDE4B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E4D08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20</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36121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完成</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16CEE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完成</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024D4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20</w:t>
            </w:r>
          </w:p>
        </w:tc>
      </w:tr>
      <w:tr w14:paraId="4F81F0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095ED925">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BD6B274">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8D791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核心业务 产出2</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35F05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0"/>
                <w:szCs w:val="10"/>
              </w:rPr>
              <w:t>完成矿山复垦</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69C7E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DFACE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20</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A43C8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完成</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B532A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完成</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1C306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20</w:t>
            </w:r>
          </w:p>
        </w:tc>
      </w:tr>
      <w:tr w14:paraId="110D17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0D697775">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A193AB2">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7B71B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核心业务 产出3</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197C3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pPr>
            <w:r>
              <w:rPr>
                <w:rFonts w:hint="default" w:ascii="CESI仿宋-GB2312" w:hAnsi="CESI仿宋-GB2312" w:eastAsia="CESI仿宋-GB2312" w:cs="CESI仿宋-GB2312"/>
                <w:sz w:val="10"/>
                <w:szCs w:val="10"/>
              </w:rPr>
              <w:t>完成空间生态修复</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23DAE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42079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CC737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完成</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9D1A8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完成</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81285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10</w:t>
            </w:r>
          </w:p>
        </w:tc>
      </w:tr>
      <w:tr w14:paraId="2FB70D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198DBFC">
            <w:pPr>
              <w:rPr>
                <w:rFonts w:hint="eastAsia" w:ascii="宋体"/>
                <w:sz w:val="24"/>
                <w:szCs w:val="24"/>
              </w:rPr>
            </w:pPr>
          </w:p>
        </w:tc>
        <w:tc>
          <w:tcPr>
            <w:tcW w:w="107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0ABC3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社会效应</w:t>
            </w:r>
            <w:r>
              <w:rPr>
                <w:rFonts w:hint="default" w:ascii="CESI仿宋-GB2312" w:hAnsi="CESI仿宋-GB2312" w:eastAsia="CESI仿宋-GB2312" w:cs="CESI仿宋-GB2312"/>
                <w:sz w:val="21"/>
                <w:szCs w:val="21"/>
              </w:rPr>
              <w:t>（10）</w:t>
            </w: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EEEBB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经济效益</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5222C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0"/>
                <w:szCs w:val="10"/>
              </w:rPr>
              <w:t>完成经济效益</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A32FF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AA646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6</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EFDD1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28亿</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52693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28亿</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64C31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6</w:t>
            </w:r>
          </w:p>
        </w:tc>
      </w:tr>
      <w:tr w14:paraId="796898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22A768C">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FE677A1">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11F01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社会效益</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E5EE6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pPr>
            <w:r>
              <w:rPr>
                <w:rFonts w:hint="default" w:ascii="CESI仿宋-GB2312" w:hAnsi="CESI仿宋-GB2312" w:eastAsia="CESI仿宋-GB2312" w:cs="CESI仿宋-GB2312"/>
                <w:sz w:val="10"/>
                <w:szCs w:val="10"/>
              </w:rPr>
              <w:t>完成建设指标</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BC6FF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AC8B9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3</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13D5B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4000亩</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EFE4B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4000亩</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A4E32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3</w:t>
            </w:r>
          </w:p>
        </w:tc>
      </w:tr>
      <w:tr w14:paraId="7C4DAC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0C848AE1">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951BB13">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43043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生态效益</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552C2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0"/>
                <w:szCs w:val="10"/>
              </w:rPr>
              <w:t>人居环境改善提高</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BBB83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8CF64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6E9E6C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15%</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17533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15%</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A88A2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54679B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1B1AC046">
            <w:pPr>
              <w:rPr>
                <w:rFonts w:hint="eastAsia" w:ascii="宋体"/>
                <w:sz w:val="24"/>
                <w:szCs w:val="24"/>
              </w:rPr>
            </w:pPr>
          </w:p>
        </w:tc>
        <w:tc>
          <w:tcPr>
            <w:tcW w:w="107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71AFC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可持续发展能力</w:t>
            </w:r>
            <w:r>
              <w:rPr>
                <w:rFonts w:hint="default" w:ascii="CESI仿宋-GB2312" w:hAnsi="CESI仿宋-GB2312" w:eastAsia="CESI仿宋-GB2312" w:cs="CESI仿宋-GB2312"/>
                <w:sz w:val="21"/>
                <w:szCs w:val="21"/>
              </w:rPr>
              <w:t>（6）</w:t>
            </w: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D3BAD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体制机制 改革</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1438E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服务体制改 革成效</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08468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2D444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550B5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建成服务型政府单位</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1CEB7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建成服务型政府单位</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762F5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1B1045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78A1D78F">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99153A0">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2186D34">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C32EC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行政管理体 制改革成效</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C2296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FB20B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70CCC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职责、职能法定化</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8374D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职责、职能法定化</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C09D9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1BFB19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C971566">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6E4C992">
            <w:pPr>
              <w:rPr>
                <w:rFonts w:hint="eastAsia" w:ascii="宋体"/>
                <w:sz w:val="24"/>
                <w:szCs w:val="24"/>
              </w:rPr>
            </w:pPr>
          </w:p>
        </w:tc>
        <w:tc>
          <w:tcPr>
            <w:tcW w:w="1084"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59CC8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人才支撑</w:t>
            </w:r>
          </w:p>
        </w:tc>
        <w:tc>
          <w:tcPr>
            <w:tcW w:w="827"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52E49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业务学习与 培训完成率</w:t>
            </w:r>
          </w:p>
        </w:tc>
        <w:tc>
          <w:tcPr>
            <w:tcW w:w="802"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23BCC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基本绩效型</w:t>
            </w:r>
          </w:p>
        </w:tc>
        <w:tc>
          <w:tcPr>
            <w:tcW w:w="93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81D5C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FFF1C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1201" w:type="dxa"/>
            <w:gridSpan w:val="2"/>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8F7C1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100%</w:t>
            </w:r>
          </w:p>
        </w:tc>
        <w:tc>
          <w:tcPr>
            <w:tcW w:w="880" w:type="dxa"/>
            <w:vMerge w:val="restart"/>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D7161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2</w:t>
            </w:r>
          </w:p>
        </w:tc>
      </w:tr>
      <w:tr w14:paraId="7839A5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0B6DEA92">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6406705">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714674C">
            <w:pPr>
              <w:rPr>
                <w:rFonts w:hint="eastAsia" w:ascii="宋体"/>
                <w:sz w:val="24"/>
                <w:szCs w:val="24"/>
              </w:rPr>
            </w:pPr>
          </w:p>
        </w:tc>
        <w:tc>
          <w:tcPr>
            <w:tcW w:w="827"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3B5C70D">
            <w:pPr>
              <w:rPr>
                <w:rFonts w:hint="eastAsia" w:ascii="宋体"/>
                <w:sz w:val="24"/>
                <w:szCs w:val="24"/>
              </w:rPr>
            </w:pPr>
          </w:p>
        </w:tc>
        <w:tc>
          <w:tcPr>
            <w:tcW w:w="802"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4FB6488">
            <w:pPr>
              <w:rPr>
                <w:rFonts w:hint="eastAsia" w:ascii="宋体"/>
                <w:sz w:val="24"/>
                <w:szCs w:val="24"/>
              </w:rPr>
            </w:pPr>
          </w:p>
        </w:tc>
        <w:tc>
          <w:tcPr>
            <w:tcW w:w="93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6074F47">
            <w:pPr>
              <w:rPr>
                <w:rFonts w:hint="eastAsia" w:ascii="宋体"/>
                <w:sz w:val="24"/>
                <w:szCs w:val="24"/>
              </w:rPr>
            </w:pPr>
          </w:p>
        </w:tc>
        <w:tc>
          <w:tcPr>
            <w:tcW w:w="1099"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FB7BB6A">
            <w:pPr>
              <w:rPr>
                <w:rFonts w:hint="eastAsia" w:ascii="宋体"/>
                <w:sz w:val="24"/>
                <w:szCs w:val="24"/>
              </w:rPr>
            </w:pPr>
          </w:p>
        </w:tc>
        <w:tc>
          <w:tcPr>
            <w:tcW w:w="1201" w:type="dxa"/>
            <w:gridSpan w:val="2"/>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F16BC06">
            <w:pPr>
              <w:rPr>
                <w:rFonts w:hint="eastAsia" w:ascii="宋体"/>
                <w:sz w:val="24"/>
                <w:szCs w:val="24"/>
              </w:rPr>
            </w:pPr>
          </w:p>
        </w:tc>
        <w:tc>
          <w:tcPr>
            <w:tcW w:w="880"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5EF1ECD">
            <w:pPr>
              <w:rPr>
                <w:rFonts w:hint="eastAsia" w:ascii="宋体"/>
                <w:sz w:val="24"/>
                <w:szCs w:val="24"/>
              </w:rPr>
            </w:pPr>
          </w:p>
        </w:tc>
      </w:tr>
      <w:tr w14:paraId="5E8AD4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4817CE6">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C437E7F">
            <w:pPr>
              <w:rPr>
                <w:rFonts w:hint="eastAsia" w:ascii="宋体"/>
                <w:sz w:val="24"/>
                <w:szCs w:val="24"/>
              </w:rPr>
            </w:pPr>
          </w:p>
        </w:tc>
        <w:tc>
          <w:tcPr>
            <w:tcW w:w="1084" w:type="dxa"/>
            <w:vMerge w:val="continue"/>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2242D44">
            <w:pPr>
              <w:rPr>
                <w:rFonts w:hint="eastAsia" w:ascii="宋体"/>
                <w:sz w:val="24"/>
                <w:szCs w:val="24"/>
              </w:rPr>
            </w:pP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3D55E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干部队伍体系建设规划情况</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9FB5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EA064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7E876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1、制度合2、人才储备符合发展规划需要</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1C55C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1、制度合2、人才储备符合发展规划需</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A2B93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19"/>
                <w:szCs w:val="19"/>
              </w:rPr>
              <w:t>2</w:t>
            </w:r>
          </w:p>
        </w:tc>
      </w:tr>
      <w:tr w14:paraId="215FC7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691DD62">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1448F17">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B96B6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科技支撑</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7E568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19"/>
                <w:szCs w:val="19"/>
              </w:rPr>
              <w:t>信息化建设 情况</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E41CC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CESI仿宋-GB2312" w:hAnsi="CESI仿宋-GB2312" w:eastAsia="CESI仿宋-GB2312" w:cs="CESI仿宋-GB2312"/>
                <w:sz w:val="21"/>
                <w:szCs w:val="21"/>
              </w:rPr>
              <w:t>基本绩效型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F21EB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9D82D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运用信息化提升工作及管理</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32B89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运用信息化提升工作及管理</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3A3D71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1</w:t>
            </w:r>
          </w:p>
        </w:tc>
      </w:tr>
      <w:tr w14:paraId="30AFC2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B1F50F1">
            <w:pPr>
              <w:rPr>
                <w:rFonts w:hint="eastAsia" w:ascii="宋体"/>
                <w:sz w:val="24"/>
                <w:szCs w:val="24"/>
              </w:rPr>
            </w:pPr>
          </w:p>
        </w:tc>
        <w:tc>
          <w:tcPr>
            <w:tcW w:w="1073" w:type="dxa"/>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F1404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满意度（4）</w:t>
            </w: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66F4B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服务对象 满意度</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20FB2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pPr>
            <w:r>
              <w:rPr>
                <w:rFonts w:hint="default" w:ascii="CESI仿宋-GB2312" w:hAnsi="CESI仿宋-GB2312" w:eastAsia="CESI仿宋-GB2312" w:cs="CESI仿宋-GB2312"/>
                <w:sz w:val="10"/>
                <w:szCs w:val="10"/>
              </w:rPr>
              <w:t>服务群众满意度</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BD051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基本绩效性</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89C78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5CC44E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95%</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45913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95%</w:t>
            </w: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27398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2</w:t>
            </w:r>
          </w:p>
        </w:tc>
      </w:tr>
      <w:tr w14:paraId="3D9991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7" w:type="dxa"/>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12344C27">
            <w:pPr>
              <w:rPr>
                <w:rFonts w:hint="eastAsia" w:ascii="宋体"/>
                <w:sz w:val="24"/>
                <w:szCs w:val="24"/>
              </w:rPr>
            </w:pPr>
          </w:p>
        </w:tc>
        <w:tc>
          <w:tcPr>
            <w:tcW w:w="1073" w:type="dxa"/>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A836EDD">
            <w:pPr>
              <w:rPr>
                <w:rFonts w:hint="eastAsia" w:ascii="宋体"/>
                <w:sz w:val="24"/>
                <w:szCs w:val="24"/>
              </w:rPr>
            </w:pPr>
          </w:p>
        </w:tc>
        <w:tc>
          <w:tcPr>
            <w:tcW w:w="1084"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08FEA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联系部门 满意度</w:t>
            </w:r>
          </w:p>
        </w:tc>
        <w:tc>
          <w:tcPr>
            <w:tcW w:w="827"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BFA8D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pPr>
            <w:r>
              <w:rPr>
                <w:rFonts w:hint="default" w:ascii="CESI仿宋-GB2312" w:hAnsi="CESI仿宋-GB2312" w:eastAsia="CESI仿宋-GB2312" w:cs="CESI仿宋-GB2312"/>
                <w:sz w:val="10"/>
                <w:szCs w:val="10"/>
              </w:rPr>
              <w:t>部门满意度</w:t>
            </w:r>
          </w:p>
        </w:tc>
        <w:tc>
          <w:tcPr>
            <w:tcW w:w="802"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0095E2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绩效基本型</w:t>
            </w:r>
          </w:p>
        </w:tc>
        <w:tc>
          <w:tcPr>
            <w:tcW w:w="93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1B069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2</w:t>
            </w:r>
          </w:p>
        </w:tc>
        <w:tc>
          <w:tcPr>
            <w:tcW w:w="1099"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9E767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96%</w:t>
            </w:r>
          </w:p>
        </w:tc>
        <w:tc>
          <w:tcPr>
            <w:tcW w:w="1201" w:type="dxa"/>
            <w:gridSpan w:val="2"/>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F6DEFEF">
            <w:pPr>
              <w:keepNext w:val="0"/>
              <w:keepLines w:val="0"/>
              <w:widowControl/>
              <w:suppressLineNumbers w:val="0"/>
              <w:wordWrap w:val="0"/>
              <w:spacing w:before="0" w:beforeAutospacing="0" w:after="0" w:afterAutospacing="0"/>
              <w:ind w:left="0" w:right="0"/>
              <w:jc w:val="left"/>
            </w:pPr>
          </w:p>
        </w:tc>
        <w:tc>
          <w:tcPr>
            <w:tcW w:w="880" w:type="dxa"/>
            <w:tcBorders>
              <w:top w:val="nil"/>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10F9A2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4"/>
                <w:szCs w:val="24"/>
              </w:rPr>
              <w:t>2</w:t>
            </w:r>
          </w:p>
        </w:tc>
      </w:tr>
      <w:tr w14:paraId="5AABD2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617" w:type="dxa"/>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11811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总分</w:t>
            </w:r>
          </w:p>
        </w:tc>
        <w:tc>
          <w:tcPr>
            <w:tcW w:w="7899" w:type="dxa"/>
            <w:gridSpan w:val="9"/>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E2A8E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97</w:t>
            </w:r>
          </w:p>
        </w:tc>
      </w:tr>
      <w:tr w14:paraId="166315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1690" w:type="dxa"/>
            <w:gridSpan w:val="2"/>
            <w:vMerge w:val="restart"/>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67EEBB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偏差大或目标未完成原因分析</w:t>
            </w:r>
          </w:p>
        </w:tc>
        <w:tc>
          <w:tcPr>
            <w:tcW w:w="6826" w:type="dxa"/>
            <w:gridSpan w:val="8"/>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E0A6D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无</w:t>
            </w:r>
          </w:p>
        </w:tc>
      </w:tr>
      <w:tr w14:paraId="776409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498CDDC">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DCD62AA">
            <w:pPr>
              <w:rPr>
                <w:rFonts w:hint="eastAsia" w:ascii="宋体"/>
                <w:sz w:val="24"/>
                <w:szCs w:val="24"/>
              </w:rPr>
            </w:pPr>
          </w:p>
        </w:tc>
      </w:tr>
      <w:tr w14:paraId="7277DC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3F1C52BB">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113FB05">
            <w:pPr>
              <w:rPr>
                <w:rFonts w:hint="eastAsia" w:ascii="宋体"/>
                <w:sz w:val="24"/>
                <w:szCs w:val="24"/>
              </w:rPr>
            </w:pPr>
          </w:p>
        </w:tc>
      </w:tr>
      <w:tr w14:paraId="66B867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6A494AB7">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651CA9B">
            <w:pPr>
              <w:rPr>
                <w:rFonts w:hint="eastAsia" w:ascii="宋体"/>
                <w:sz w:val="24"/>
                <w:szCs w:val="24"/>
              </w:rPr>
            </w:pPr>
          </w:p>
        </w:tc>
      </w:tr>
      <w:tr w14:paraId="7AF6C3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478A50E">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5CE9AF7F">
            <w:pPr>
              <w:rPr>
                <w:rFonts w:hint="eastAsia" w:ascii="宋体"/>
                <w:sz w:val="24"/>
                <w:szCs w:val="24"/>
              </w:rPr>
            </w:pPr>
          </w:p>
        </w:tc>
      </w:tr>
      <w:tr w14:paraId="198CF4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0" w:type="dxa"/>
            <w:gridSpan w:val="2"/>
            <w:vMerge w:val="restart"/>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7DEE91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CESI仿宋-GB2312" w:hAnsi="CESI仿宋-GB2312" w:eastAsia="CESI仿宋-GB2312" w:cs="CESI仿宋-GB2312"/>
                <w:sz w:val="21"/>
                <w:szCs w:val="21"/>
              </w:rPr>
              <w:t>改进措施及结果应用方案</w:t>
            </w:r>
          </w:p>
        </w:tc>
        <w:tc>
          <w:tcPr>
            <w:tcW w:w="6826" w:type="dxa"/>
            <w:gridSpan w:val="8"/>
            <w:vMerge w:val="restart"/>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E26F8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15" w:lineRule="atLeast"/>
              <w:ind w:left="0" w:right="0" w:firstLine="645"/>
              <w:jc w:val="both"/>
            </w:pPr>
            <w:r>
              <w:rPr>
                <w:rFonts w:hint="default" w:ascii="仿宋_GB2312" w:eastAsia="仿宋_GB2312" w:cs="仿宋_GB2312"/>
                <w:sz w:val="31"/>
                <w:szCs w:val="31"/>
              </w:rPr>
              <w:t>在编制部门预算时，会同咸安区财政局对口科室，对部门预算的收支情况进行科学分析和汇总，提高部门预算编制的科学性和预算执行的准确性，避免年中大幅度调整预算的现象。</w:t>
            </w:r>
          </w:p>
          <w:p w14:paraId="19AC78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 </w:t>
            </w:r>
          </w:p>
        </w:tc>
      </w:tr>
      <w:tr w14:paraId="4C562C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8DE884B">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4A616BE">
            <w:pPr>
              <w:rPr>
                <w:rFonts w:hint="eastAsia" w:ascii="宋体"/>
                <w:sz w:val="24"/>
                <w:szCs w:val="24"/>
              </w:rPr>
            </w:pPr>
          </w:p>
        </w:tc>
      </w:tr>
      <w:tr w14:paraId="50D3E5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8E4A17A">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3615F97">
            <w:pPr>
              <w:rPr>
                <w:rFonts w:hint="eastAsia" w:ascii="宋体"/>
                <w:sz w:val="24"/>
                <w:szCs w:val="24"/>
              </w:rPr>
            </w:pPr>
          </w:p>
        </w:tc>
      </w:tr>
      <w:tr w14:paraId="60CBAD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0444220C">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3FB30FD9">
            <w:pPr>
              <w:rPr>
                <w:rFonts w:hint="eastAsia" w:ascii="宋体"/>
                <w:sz w:val="24"/>
                <w:szCs w:val="24"/>
              </w:rPr>
            </w:pPr>
          </w:p>
        </w:tc>
      </w:tr>
      <w:tr w14:paraId="2C88EB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2C83655A">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782412DB">
            <w:pPr>
              <w:rPr>
                <w:rFonts w:hint="eastAsia" w:ascii="宋体"/>
                <w:sz w:val="24"/>
                <w:szCs w:val="24"/>
              </w:rPr>
            </w:pPr>
          </w:p>
        </w:tc>
      </w:tr>
      <w:tr w14:paraId="0965A2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1690" w:type="dxa"/>
            <w:gridSpan w:val="2"/>
            <w:vMerge w:val="continue"/>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2017DC4">
            <w:pPr>
              <w:rPr>
                <w:rFonts w:hint="eastAsia" w:ascii="宋体"/>
                <w:sz w:val="24"/>
                <w:szCs w:val="24"/>
              </w:rPr>
            </w:pPr>
          </w:p>
        </w:tc>
        <w:tc>
          <w:tcPr>
            <w:tcW w:w="6826" w:type="dxa"/>
            <w:gridSpan w:val="8"/>
            <w:vMerge w:val="continue"/>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22FF0E0E">
            <w:pPr>
              <w:rPr>
                <w:rFonts w:hint="eastAsia" w:ascii="宋体"/>
                <w:sz w:val="24"/>
                <w:szCs w:val="24"/>
              </w:rPr>
            </w:pPr>
          </w:p>
        </w:tc>
      </w:tr>
      <w:tr w14:paraId="09EEDE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617" w:type="dxa"/>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center"/>
          </w:tcPr>
          <w:p w14:paraId="5950138C">
            <w:pPr>
              <w:keepNext w:val="0"/>
              <w:keepLines w:val="0"/>
              <w:widowControl/>
              <w:suppressLineNumbers w:val="0"/>
              <w:wordWrap w:val="0"/>
              <w:spacing w:before="0" w:beforeAutospacing="0" w:after="0" w:afterAutospacing="0"/>
              <w:ind w:left="0" w:right="0"/>
              <w:jc w:val="left"/>
            </w:pPr>
          </w:p>
        </w:tc>
        <w:tc>
          <w:tcPr>
            <w:tcW w:w="1073" w:type="dxa"/>
            <w:tcBorders>
              <w:top w:val="nil"/>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6316198F">
            <w:pPr>
              <w:keepNext w:val="0"/>
              <w:keepLines w:val="0"/>
              <w:widowControl/>
              <w:suppressLineNumbers w:val="0"/>
              <w:wordWrap w:val="0"/>
              <w:spacing w:before="0" w:beforeAutospacing="0" w:after="0" w:afterAutospacing="0"/>
              <w:ind w:left="0" w:right="0"/>
              <w:jc w:val="left"/>
            </w:pPr>
          </w:p>
        </w:tc>
        <w:tc>
          <w:tcPr>
            <w:tcW w:w="1084"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2471DDF6">
            <w:pPr>
              <w:keepNext w:val="0"/>
              <w:keepLines w:val="0"/>
              <w:widowControl/>
              <w:suppressLineNumbers w:val="0"/>
              <w:wordWrap w:val="0"/>
              <w:spacing w:before="0" w:beforeAutospacing="0" w:after="0" w:afterAutospacing="0"/>
              <w:ind w:left="0" w:right="0"/>
              <w:jc w:val="left"/>
            </w:pPr>
          </w:p>
        </w:tc>
        <w:tc>
          <w:tcPr>
            <w:tcW w:w="827"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1AE314A">
            <w:pPr>
              <w:keepNext w:val="0"/>
              <w:keepLines w:val="0"/>
              <w:widowControl/>
              <w:suppressLineNumbers w:val="0"/>
              <w:wordWrap w:val="0"/>
              <w:spacing w:before="0" w:beforeAutospacing="0" w:after="0" w:afterAutospacing="0"/>
              <w:ind w:left="0" w:right="0"/>
              <w:jc w:val="left"/>
            </w:pPr>
          </w:p>
        </w:tc>
        <w:tc>
          <w:tcPr>
            <w:tcW w:w="802"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F19BB1C">
            <w:pPr>
              <w:keepNext w:val="0"/>
              <w:keepLines w:val="0"/>
              <w:widowControl/>
              <w:suppressLineNumbers w:val="0"/>
              <w:wordWrap w:val="0"/>
              <w:spacing w:before="0" w:beforeAutospacing="0" w:after="0" w:afterAutospacing="0"/>
              <w:ind w:left="0" w:right="0"/>
              <w:jc w:val="left"/>
            </w:pPr>
          </w:p>
        </w:tc>
        <w:tc>
          <w:tcPr>
            <w:tcW w:w="933"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1566C06F">
            <w:pPr>
              <w:keepNext w:val="0"/>
              <w:keepLines w:val="0"/>
              <w:widowControl/>
              <w:suppressLineNumbers w:val="0"/>
              <w:wordWrap w:val="0"/>
              <w:spacing w:before="0" w:beforeAutospacing="0" w:after="0" w:afterAutospacing="0"/>
              <w:ind w:left="0" w:right="0"/>
              <w:jc w:val="left"/>
            </w:pPr>
          </w:p>
        </w:tc>
        <w:tc>
          <w:tcPr>
            <w:tcW w:w="1099"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4C15C670">
            <w:pPr>
              <w:keepNext w:val="0"/>
              <w:keepLines w:val="0"/>
              <w:widowControl/>
              <w:suppressLineNumbers w:val="0"/>
              <w:wordWrap w:val="0"/>
              <w:spacing w:before="0" w:beforeAutospacing="0" w:after="0" w:afterAutospacing="0"/>
              <w:ind w:left="0" w:right="0"/>
              <w:jc w:val="left"/>
            </w:pPr>
          </w:p>
        </w:tc>
        <w:tc>
          <w:tcPr>
            <w:tcW w:w="522"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04A7AB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ESI仿宋-GB2312" w:hAnsi="CESI仿宋-GB2312" w:eastAsia="CESI仿宋-GB2312" w:cs="CESI仿宋-GB2312"/>
                <w:sz w:val="21"/>
                <w:szCs w:val="21"/>
              </w:rPr>
              <w:t>1</w:t>
            </w:r>
          </w:p>
        </w:tc>
        <w:tc>
          <w:tcPr>
            <w:tcW w:w="679" w:type="dxa"/>
            <w:tcBorders>
              <w:top w:val="single" w:color="72A7BB" w:sz="6" w:space="0"/>
              <w:left w:val="nil"/>
              <w:bottom w:val="single" w:color="72A7BB" w:sz="6" w:space="0"/>
              <w:right w:val="single" w:color="72A7BB" w:sz="6" w:space="0"/>
            </w:tcBorders>
            <w:shd w:val="clear" w:color="auto" w:fill="FEFEFE"/>
            <w:tcMar>
              <w:top w:w="0" w:type="dxa"/>
              <w:left w:w="105" w:type="dxa"/>
              <w:bottom w:w="0" w:type="dxa"/>
              <w:right w:w="105" w:type="dxa"/>
            </w:tcMar>
            <w:vAlign w:val="center"/>
          </w:tcPr>
          <w:p w14:paraId="77ADDC62">
            <w:pPr>
              <w:keepNext w:val="0"/>
              <w:keepLines w:val="0"/>
              <w:widowControl/>
              <w:suppressLineNumbers w:val="0"/>
              <w:wordWrap w:val="0"/>
              <w:spacing w:before="0" w:beforeAutospacing="0" w:after="0" w:afterAutospacing="0"/>
              <w:ind w:left="0" w:right="0"/>
              <w:jc w:val="left"/>
            </w:pPr>
          </w:p>
        </w:tc>
        <w:tc>
          <w:tcPr>
            <w:tcW w:w="880" w:type="dxa"/>
            <w:tcBorders>
              <w:top w:val="single" w:color="72A7BB" w:sz="6" w:space="0"/>
              <w:left w:val="nil"/>
              <w:bottom w:val="single" w:color="72A7BB" w:sz="6" w:space="0"/>
              <w:right w:val="single" w:color="72A7BB" w:sz="6" w:space="0"/>
            </w:tcBorders>
            <w:shd w:val="clear" w:color="auto" w:fill="F0F0F0"/>
            <w:tcMar>
              <w:top w:w="0" w:type="dxa"/>
              <w:left w:w="105" w:type="dxa"/>
              <w:bottom w:w="0" w:type="dxa"/>
              <w:right w:w="105" w:type="dxa"/>
            </w:tcMar>
            <w:vAlign w:val="center"/>
          </w:tcPr>
          <w:p w14:paraId="4C78A60F">
            <w:pPr>
              <w:keepNext w:val="0"/>
              <w:keepLines w:val="0"/>
              <w:widowControl/>
              <w:suppressLineNumbers w:val="0"/>
              <w:wordWrap w:val="0"/>
              <w:spacing w:before="0" w:beforeAutospacing="0" w:after="0" w:afterAutospacing="0"/>
              <w:ind w:left="0" w:right="0"/>
              <w:jc w:val="left"/>
            </w:pPr>
          </w:p>
        </w:tc>
      </w:tr>
      <w:tr w14:paraId="76676C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8516" w:type="dxa"/>
            <w:gridSpan w:val="10"/>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top"/>
          </w:tcPr>
          <w:p w14:paraId="6634C6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pPr>
            <w:r>
              <w:rPr>
                <w:rFonts w:hint="eastAsia" w:ascii="宋体" w:hAnsi="宋体" w:eastAsia="宋体" w:cs="宋体"/>
                <w:sz w:val="18"/>
                <w:szCs w:val="18"/>
              </w:rPr>
              <w:t>备 注 ：</w:t>
            </w:r>
          </w:p>
          <w:p w14:paraId="54AAEC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pPr>
            <w:r>
              <w:rPr>
                <w:rFonts w:hint="eastAsia" w:ascii="宋体" w:hAnsi="宋体" w:eastAsia="宋体" w:cs="宋体"/>
                <w:sz w:val="18"/>
                <w:szCs w:val="18"/>
              </w:rPr>
              <w:t>        除《咸安区区直部门整体绩效评价共性指标体系参考框架》“评价要点”一栏中明确规定得分计 算方式的指标外，其余指标按以下原则计算得分：</w:t>
            </w:r>
          </w:p>
          <w:p w14:paraId="11D5AE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pPr>
            <w:r>
              <w:rPr>
                <w:rFonts w:hint="eastAsia" w:ascii="宋体" w:hAnsi="宋体" w:eastAsia="宋体" w:cs="宋体"/>
                <w:sz w:val="18"/>
                <w:szCs w:val="18"/>
              </w:rPr>
              <w:t>        1.定量指标：正向指标(即目标值为≥X,得分=权重*B/A), 反向指标(即目标值为≤X, 得分= 权重*A/B),  得分不得突破权重总额。</w:t>
            </w:r>
          </w:p>
          <w:p w14:paraId="1334F8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pPr>
            <w:r>
              <w:rPr>
                <w:rFonts w:hint="eastAsia" w:ascii="宋体" w:hAnsi="宋体" w:eastAsia="宋体" w:cs="宋体"/>
                <w:sz w:val="18"/>
                <w:szCs w:val="18"/>
              </w:rPr>
              <w:t>        2.定性指标：达成预期指标、部分达成预期指标并具有一定效果、未达成预期指标且效果较差三 档，分别按照该指标对应分值区间100-80%(含80%)、80-50%(含50%)、50-0%合理确定分值。</w:t>
            </w:r>
          </w:p>
        </w:tc>
      </w:tr>
      <w:tr w14:paraId="1BBA9A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8516" w:type="dxa"/>
            <w:gridSpan w:val="10"/>
            <w:tcBorders>
              <w:top w:val="nil"/>
              <w:left w:val="single" w:color="72A7BB" w:sz="6" w:space="0"/>
              <w:bottom w:val="single" w:color="72A7BB" w:sz="6" w:space="0"/>
              <w:right w:val="single" w:color="72A7BB" w:sz="6" w:space="0"/>
            </w:tcBorders>
            <w:shd w:val="clear" w:color="auto" w:fill="FEFEFE"/>
            <w:tcMar>
              <w:top w:w="0" w:type="dxa"/>
              <w:left w:w="105" w:type="dxa"/>
              <w:bottom w:w="0" w:type="dxa"/>
              <w:right w:w="105" w:type="dxa"/>
            </w:tcMar>
            <w:vAlign w:val="top"/>
          </w:tcPr>
          <w:p w14:paraId="6A620A6A">
            <w:pPr>
              <w:keepNext w:val="0"/>
              <w:keepLines w:val="0"/>
              <w:widowControl/>
              <w:suppressLineNumbers w:val="0"/>
              <w:wordWrap w:val="0"/>
              <w:spacing w:before="0" w:beforeAutospacing="0" w:after="0" w:afterAutospacing="0"/>
              <w:ind w:left="0" w:right="0"/>
              <w:jc w:val="left"/>
            </w:pPr>
          </w:p>
        </w:tc>
      </w:tr>
    </w:tbl>
    <w:p w14:paraId="0838E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仿宋_GB2312" w:eastAsia="仿宋_GB2312" w:cs="仿宋_GB2312"/>
          <w:sz w:val="31"/>
          <w:szCs w:val="31"/>
        </w:rPr>
        <w:t> </w:t>
      </w:r>
    </w:p>
    <w:p w14:paraId="01320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1ED22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0DD83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18E27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1AE6E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4583F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1776D6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3E51C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060CA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687B3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rFonts w:hint="eastAsia" w:ascii="宋体" w:hAnsi="宋体" w:eastAsia="宋体" w:cs="宋体"/>
          <w:sz w:val="31"/>
          <w:szCs w:val="31"/>
        </w:rPr>
        <w:t> </w:t>
      </w:r>
    </w:p>
    <w:p w14:paraId="2370B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535" w:right="0"/>
      </w:pPr>
      <w:r>
        <w:rPr>
          <w:rFonts w:hint="eastAsia" w:ascii="宋体" w:hAnsi="宋体" w:eastAsia="宋体" w:cs="宋体"/>
          <w:sz w:val="31"/>
          <w:szCs w:val="31"/>
        </w:rPr>
        <w:t> </w:t>
      </w:r>
    </w:p>
    <w:p w14:paraId="0FB2A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535" w:right="0"/>
      </w:pPr>
      <w:r>
        <w:rPr>
          <w:rFonts w:hint="eastAsia" w:ascii="宋体" w:hAnsi="宋体" w:eastAsia="宋体" w:cs="宋体"/>
          <w:sz w:val="31"/>
          <w:szCs w:val="31"/>
        </w:rPr>
        <w:t> </w:t>
      </w:r>
    </w:p>
    <w:p w14:paraId="7A05F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535" w:right="0"/>
      </w:pPr>
      <w:r>
        <w:rPr>
          <w:rFonts w:hint="eastAsia" w:ascii="宋体" w:hAnsi="宋体" w:eastAsia="宋体" w:cs="宋体"/>
          <w:sz w:val="31"/>
          <w:szCs w:val="31"/>
        </w:rPr>
        <w:t> </w:t>
      </w:r>
    </w:p>
    <w:p w14:paraId="23B0D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535" w:right="0"/>
      </w:pPr>
      <w:r>
        <w:rPr>
          <w:rFonts w:hint="eastAsia" w:ascii="仿宋" w:hAnsi="仿宋" w:eastAsia="仿宋" w:cs="仿宋"/>
          <w:sz w:val="30"/>
          <w:szCs w:val="30"/>
        </w:rPr>
        <w:t>附件2： 2022年度</w:t>
      </w:r>
      <w:r>
        <w:rPr>
          <w:rFonts w:hint="eastAsia" w:ascii="仿宋" w:hAnsi="仿宋" w:eastAsia="仿宋" w:cs="仿宋"/>
          <w:color w:val="494949"/>
          <w:spacing w:val="0"/>
          <w:sz w:val="30"/>
          <w:szCs w:val="30"/>
        </w:rPr>
        <w:t>咸安区双溪桥镇汤垴村大屋金及峡山村一组两处滑坡治理工程</w:t>
      </w:r>
      <w:r>
        <w:rPr>
          <w:rFonts w:hint="eastAsia" w:ascii="仿宋" w:hAnsi="仿宋" w:eastAsia="仿宋" w:cs="仿宋"/>
          <w:sz w:val="30"/>
          <w:szCs w:val="30"/>
        </w:rPr>
        <w:t>项目绩效评价</w:t>
      </w:r>
    </w:p>
    <w:p w14:paraId="4C1E45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z w:val="30"/>
          <w:szCs w:val="30"/>
        </w:rPr>
        <w:t>    </w:t>
      </w:r>
    </w:p>
    <w:p w14:paraId="1DCD1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color w:val="494949"/>
          <w:spacing w:val="0"/>
          <w:sz w:val="30"/>
          <w:szCs w:val="30"/>
        </w:rPr>
        <w:t>咸安区双溪桥镇汤垴村大屋金及峡山村一组两处滑坡治理工程</w:t>
      </w:r>
    </w:p>
    <w:p w14:paraId="1847A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color w:val="494949"/>
          <w:spacing w:val="0"/>
          <w:sz w:val="30"/>
          <w:szCs w:val="30"/>
        </w:rPr>
        <w:t>绩效自评报告</w:t>
      </w:r>
    </w:p>
    <w:p w14:paraId="49F29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 </w:t>
      </w:r>
    </w:p>
    <w:p w14:paraId="7FE63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一、项目基本情况</w:t>
      </w:r>
    </w:p>
    <w:p w14:paraId="6161D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（一）项目立项情况</w:t>
      </w:r>
    </w:p>
    <w:p w14:paraId="2D3EE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2020年7月，因强降雨咸安区双溪镇峡山村一组(邹盛旺)家厨房后山体发生滑坡，已滑坡岩土体积约为1300m³。滑坡体前缘为房屋、道路，后期若发生整体性边坡失稳破坏，将严重威胁下方房屋村民的生命安全。2020年12月16日，咸宁地区连续降雨，咸安区双溪桥镇汤垴村大屋金金其茂屋后发生滑坡，2021年梅雨期，该隐患点再次发生滑坡，严重影响该区域居民的生命财产安全。</w:t>
      </w:r>
    </w:p>
    <w:p w14:paraId="25224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为消除滑坡威胁，保护群众生命财产安全实现群众安居乐业，我局于2021年7月27日，向咸宁市咸安区人民政府提交《关于对咸安区双溪桥镇汤垴村大屋金金其茂屋后滑坡等4处地质灾害点开展工程治理的请示》（咸安自然资规文[2021]126号），于2022年2月21日提交《关于对咸安区双溪桥镇峡山村一组滑坡治理工程组织实施治理的请示》（咸安自然资规文[2022]20号），收到批复后，我局开始分别组织对两处地灾隐患点进行治理。</w:t>
      </w:r>
    </w:p>
    <w:p w14:paraId="36F63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（二）项目绩效目标</w:t>
      </w:r>
    </w:p>
    <w:p w14:paraId="3B2C4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滑坡治理方案：①咸安区双溪桥镇汤垴村大屋金金其茂屋后滑坡，采用挡土墙+排水工程+绿化工程的方案；②咸安区双溪镇峡山村一组(邹盛旺)家厨房后山滑坡采用坡面整形+挡土墙+截排水沟+绿化工程的方案；</w:t>
      </w:r>
    </w:p>
    <w:p w14:paraId="2EE65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通过对两处滑坡进行项目进行治理，消除地质隐患，确保人民生命财产安全，地质灾害对经济社会和生态环境影响显著减轻，因灾伤亡和财产损失明显降低；全力提升基层地质灾害综合防治能力；建立地质灾害防治长效机制。</w:t>
      </w:r>
    </w:p>
    <w:p w14:paraId="54ECD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（三）项目绩效自评工作开展情况</w:t>
      </w:r>
    </w:p>
    <w:p w14:paraId="0D762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一是统筹安排：收到工作通知后，领导高度重视此项工作，及时进行统一的安排布置并开展绩效自评工作。</w:t>
      </w:r>
    </w:p>
    <w:p w14:paraId="23811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二是积极开展:及时对涉及自评的相关项目进行了解及跟进，制订自评指标体系。</w:t>
      </w:r>
    </w:p>
    <w:p w14:paraId="77A53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三是部门协调：根据工作开展情况，涉及的各职能部门之间相互沟通、协调，严格按照要求及时对项目和财务收支的实际情况进行绩效自评。评价人员收集自评需要的现有相关资料，进行整理、分类，通过汇总整理，进行定性、定量分析该项目的产出、实施效果，对照评价指标体系与评分标准，得出评价结论后，撰写项目绩效自评报告。</w:t>
      </w:r>
    </w:p>
    <w:p w14:paraId="7B765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二、项目实施绩效管理情况</w:t>
      </w:r>
    </w:p>
    <w:p w14:paraId="27CB7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right="0"/>
      </w:pPr>
      <w:r>
        <w:rPr>
          <w:rFonts w:hint="eastAsia" w:ascii="仿宋" w:hAnsi="仿宋" w:eastAsia="仿宋" w:cs="仿宋"/>
          <w:color w:val="494949"/>
          <w:spacing w:val="0"/>
          <w:sz w:val="30"/>
          <w:szCs w:val="30"/>
        </w:rPr>
        <w:t>（一）计划制定和落实情况</w:t>
      </w:r>
    </w:p>
    <w:p w14:paraId="79181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本项目分三阶段完成</w:t>
      </w:r>
    </w:p>
    <w:p w14:paraId="3C26B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第一阶段：项目可行性分析及设计阶段</w:t>
      </w:r>
    </w:p>
    <w:p w14:paraId="7F087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2020年12月25日，我局与湖北省地质局第四地质大队签订委托合同，委托其组织专业技术人员赴现场对项目滑坡进行了勘查作业。2021年4月21日，在勘察作业的基础上编制完成了《咸安区双溪桥镇汤垴村大屋金及峡山村一组两处滑坡勘察报告》，结合实际情况做出切实可行的《咸安区双溪桥镇汤垴村大屋金及峡山村一组两处滑坡治理工程可行性研究报告》及《咸安区双溪桥镇汤垴村大屋金及峡山村一组两处滑坡治理工程施工图设计》。</w:t>
      </w:r>
    </w:p>
    <w:p w14:paraId="046846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第二阶段：项目施工建设阶段</w:t>
      </w:r>
    </w:p>
    <w:p w14:paraId="2753C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2021年5月我局委托普荣造价咨询集团有限公司根据工程设计资料对汤垴村大屋金其茂屋后滑坡治理工程进行招标控制价的编制并出具报告；并于2021年7月委托黄冈市宏禹工程咨询有限公司进行工程询价采购代理工作，2021年7月14日经过询价程序，确定由湖北立言建筑工程有限公司承接此建筑工程并于2021年8月4日签订施工合同。2021年8月委托三峡大学（湖北）设计咨询研究院有限责任公司对该工程全过程进行工程监理及相关工作。工程于2021年8月9日开工，2021年12月20日竣工。</w:t>
      </w:r>
    </w:p>
    <w:p w14:paraId="2EC05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2022年4月我局委托湖北众恒永业项目管理有限公司咸安分公司根据工程设计资料对峡山村一组邹盛旺家厨房后山滑坡治理工程进行招标控制价格编制并出具报告；2022年4月17日咸宁市咸安区政府投资评审中心对此项目的招标控制价进行建设项目投资评审结论；2022年5月16日由湖北宝辉工程咨询有限公司在湖北省政府采购网、咸安区公共资源电子交易平台发布该项目建筑工程竞争性谈判公告，并于2022年5月20日进行项目谈判，最后评选出由湖北元邦建筑工程有限公司承接此建筑工程并签订施工合同。2022年6月21日委托中新凯瑞工程咨询有限公司对该工程全过程进行工程监理及相关工作。工程于2022年6月23日开工，2022年7月18日竣工。</w:t>
      </w:r>
    </w:p>
    <w:p w14:paraId="1D9C9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第三阶段：工程验收、结算及监测阶段</w:t>
      </w:r>
    </w:p>
    <w:p w14:paraId="11F98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2022年5月6日，本单位组织相关参建单位一同对汤垴村大屋金其茂屋后滑坡治理工程进行了初步验收并出具了竣工初步验收意见书。2022年7月18日，委托华伦中建建设股份有限公司（咸宁分公司）对本项目进行工程结算审计并出具报告。</w:t>
      </w:r>
    </w:p>
    <w:p w14:paraId="74FC7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2022年8月24日，本单位组织相关参建单位一同对峡山村一组邹盛旺家厨房后山滑坡治理工程进行了初步验收。2022年11月3日，委托湖北岳华工程项目管理有限公司咸宁分公司对本项目进行工程结算审计并出具报告。</w:t>
      </w:r>
    </w:p>
    <w:p w14:paraId="69330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2022年7月份委托湖北多光谱测绘科技有限公司对两处滑坡治理工程进行竣工后效果监测。</w:t>
      </w:r>
    </w:p>
    <w:p w14:paraId="60DF9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2022年12月份委托湖北中立有限责任会计师事务所对两处滑坡治理工程进行工程竣工财务决算审计。</w:t>
      </w:r>
    </w:p>
    <w:p w14:paraId="25814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right="0"/>
      </w:pPr>
      <w:r>
        <w:rPr>
          <w:rFonts w:hint="eastAsia" w:ascii="仿宋" w:hAnsi="仿宋" w:eastAsia="仿宋" w:cs="仿宋"/>
          <w:color w:val="494949"/>
          <w:spacing w:val="0"/>
          <w:sz w:val="30"/>
          <w:szCs w:val="30"/>
        </w:rPr>
        <w:t>（二）项目资金情况</w:t>
      </w:r>
    </w:p>
    <w:p w14:paraId="4AD27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right="0"/>
      </w:pPr>
      <w:r>
        <w:rPr>
          <w:rFonts w:hint="eastAsia" w:ascii="仿宋" w:hAnsi="仿宋" w:eastAsia="仿宋" w:cs="仿宋"/>
          <w:color w:val="494949"/>
          <w:spacing w:val="0"/>
          <w:sz w:val="30"/>
          <w:szCs w:val="30"/>
        </w:rPr>
        <w:t>1、项目资金到位情况</w:t>
      </w:r>
    </w:p>
    <w:p w14:paraId="258F6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咸安区双溪桥镇汤垴村大屋金及峡山村一组两处滑坡治理工程项目预算资金合计140万元，中央专项资金140万元已到位，资金拨付率为100%。资金拨付依据：《财政部关于提前下达2022年自然灾害防治体系建设补助资金预算的通知》(财资环〔2021111号)、《省财政厅关于下达2022年中央自然灾害防治体系建设补助资金的通知》（鄂财环发〔2022〕4号）、《2022年度中央自然灾害防治体系建设补助资金项目任务的通知》(鄂自然资函[2022]35号)。</w:t>
      </w:r>
    </w:p>
    <w:p w14:paraId="71616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right="0"/>
      </w:pPr>
      <w:r>
        <w:rPr>
          <w:rFonts w:hint="eastAsia" w:ascii="仿宋" w:hAnsi="仿宋" w:eastAsia="仿宋" w:cs="仿宋"/>
          <w:color w:val="494949"/>
          <w:spacing w:val="0"/>
          <w:sz w:val="30"/>
          <w:szCs w:val="30"/>
        </w:rPr>
        <w:t>2、项目资金执行情况</w:t>
      </w:r>
    </w:p>
    <w:p w14:paraId="2E618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咸安区双溪桥镇汤垴村大屋金及峡山村一组两处滑坡治理工程签订合同金额总计139.32万元。</w:t>
      </w:r>
    </w:p>
    <w:p w14:paraId="298A4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right="0"/>
      </w:pPr>
      <w:r>
        <w:rPr>
          <w:rFonts w:hint="eastAsia" w:ascii="仿宋" w:hAnsi="仿宋" w:eastAsia="仿宋" w:cs="仿宋"/>
          <w:color w:val="494949"/>
          <w:spacing w:val="0"/>
          <w:sz w:val="30"/>
          <w:szCs w:val="30"/>
        </w:rPr>
        <w:t>3、项目资金管理情况</w:t>
      </w:r>
    </w:p>
    <w:p w14:paraId="23EE5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我局严格按照相应的业务管理制度，规范各类开支。项目资金由财政部门严格把控，申请拨付项目资金时，需要履行财政部门的规定，严格按财政资金的审批、拨付手续，项目资金才能拨付到位。项目资金的开支范围为组织、实施、管理该项目发生的各项支出，包括工程施工费、临时工程费及独立费用等。会计核算根据项目实际发生的各项经济业务为依据，项目资金的收支情况和结果客观真实。按照规定的会计处理方法进行核算。资金使用规范，符合国家财经法规和财务管理以及有关专项资金管理办法的规定;资金的拨付有完整的审批程序和手续;不存在截留、挤占、挪用、虚列支出等情况。保障会计核算准确、财务资料完整。确保项目的顺利实施和资金投放效益的正常发挥。</w:t>
      </w:r>
    </w:p>
    <w:p w14:paraId="4C60E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三、项目绩效指标完成情况</w:t>
      </w:r>
    </w:p>
    <w:p w14:paraId="1AD36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（一）预算执行完成情况</w:t>
      </w:r>
    </w:p>
    <w:p w14:paraId="5B61C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项目预算资金合计140万元，实际完成投资139.32万元，资金执行率为99.51%。此项扣0.1分。该指标分值20分，自评得分19.9分。</w:t>
      </w:r>
    </w:p>
    <w:p w14:paraId="5BBFB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（二）产出指标完成情况</w:t>
      </w:r>
    </w:p>
    <w:p w14:paraId="23F6F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1、数量指标（该指标分值35分，得33.6分）</w:t>
      </w:r>
    </w:p>
    <w:p w14:paraId="71D55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本次项目治理了咸安区双溪桥镇汤垴村大屋金及峡山村一组两处地质灾害点，共浇筑混凝土挡土墙1060.84m³，浇筑混凝土排水沟、电缆沟、地沟浇筑99.78m³，播撒草籽630㎡，栽植灌木2656株。浇筑混凝土排水沟、电缆沟、地沟浇筑方量未达到预设指标，此项扣1.4分。</w:t>
      </w:r>
    </w:p>
    <w:p w14:paraId="412D0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2、质量指标（该指标分值为10分，得10分）</w:t>
      </w:r>
    </w:p>
    <w:p w14:paraId="0C492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咸安区双溪桥镇汤垴村大屋金及峡山村一组两处滑坡治理工程各阶段设计文件编制前，设计人员到达工程建设现场进行勘察，以取得设计输入的第一手资料。可行性研究报告、初步设计的设计输入文件均由项目总负责人编制。施工图设计阶段由单位负责人编制。每项工程设计都有设计准入要求文件。设计输入文件经设计总负责人审批，签署审核。对规划设计、可行性研究、方案设计、初步设计等总体设计方案的评审，采取会议方式进行，由分工公司主管或分工部门主管主持，协同相关设计部门的部门主管、项目总负责人、单项负责人及主要设计人员参加。设计输出文件编制完成后，交审核人验证以确保设计文件满足设计输入的要求。</w:t>
      </w:r>
    </w:p>
    <w:p w14:paraId="45C53C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本项目已完成了工程设计和合同约定的各项内容。施工单位在工程完成之后，根据国家有关法律、法规和工程建设强制性标准和设计文件及合同要求，对工程质量进行了检查确认。有完整的技术档案和施工管理资料，有工程使用的主要建筑材料、建筑构配件和设备的进场试验报告，初步验收为合格。</w:t>
      </w:r>
    </w:p>
    <w:p w14:paraId="6D25F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3、时效指标（该指标分值10分，得7.5分）</w:t>
      </w:r>
    </w:p>
    <w:p w14:paraId="2C1D6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咸安区双溪桥镇汤垴村大屋金及峡山村一组两处滑坡治理工程施工设计方案在计划时间内完成并提交。切实保障了项目进度。</w:t>
      </w:r>
    </w:p>
    <w:p w14:paraId="597A5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汤垴村大屋金其茂屋后滑坡治理工程于2021年8月9日开工，2021年12月20日竣工。工期133天，超出施工合同约定日期，本项扣2.5分。</w:t>
      </w:r>
    </w:p>
    <w:p w14:paraId="5AC9E3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color w:val="494949"/>
          <w:spacing w:val="0"/>
          <w:sz w:val="30"/>
          <w:szCs w:val="30"/>
        </w:rPr>
        <w:t>峡山村一组邹盛旺家厨房后山滑坡治理工程于2022年6月23日开工，2022年7月18日竣工。工期25天，在施工合同约定日期内完成工程建设。</w:t>
      </w:r>
    </w:p>
    <w:p w14:paraId="04EC5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效益指标完成情况</w:t>
      </w:r>
    </w:p>
    <w:p w14:paraId="6E7D1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1、经济效益指标（该指标分值5分，得5分）</w:t>
      </w:r>
    </w:p>
    <w:p w14:paraId="47031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通过实施咸安区双溪桥镇汤垴村大屋金及峡山村一组两处滑坡治理项目，能产生明显的经济、社会、生态效益。通过工程建设，能减少自然灾害带来的威胁，避免造成潜在财产损失513万元。</w:t>
      </w:r>
    </w:p>
    <w:p w14:paraId="42E49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2、社会效益指标（该指标分值5分，得5分）</w:t>
      </w:r>
    </w:p>
    <w:p w14:paraId="62500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通过治理工程有效保护了10户共33人的生命安全，对维护当地社会的和谐稳定与人民群众的安居乐业将起到积极的作用，带来较好的社会效益；</w:t>
      </w:r>
    </w:p>
    <w:p w14:paraId="79E3B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3、生态效益指标（该指标分值5分，得5分）</w:t>
      </w:r>
    </w:p>
    <w:p w14:paraId="651E8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通过治理工程与生态环保相结合，可有效改善当地地质环境条件，减少水土流失的危害，带来良好的生态环境效益。</w:t>
      </w:r>
    </w:p>
    <w:p w14:paraId="615E6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（二）满意度指标完成情况</w:t>
      </w:r>
    </w:p>
    <w:p w14:paraId="6324F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对于咸安区双溪桥镇汤垴村大屋金及峡山村一组两处滑坡治理项目，主管、参与部门及受益群众对项目认可度较高。此项指标分值10分，自评得分10分。</w:t>
      </w:r>
    </w:p>
    <w:p w14:paraId="60FD21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四、项目存在的问题和下一步改进措施</w:t>
      </w:r>
    </w:p>
    <w:p w14:paraId="2B70C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工程项目存在施工进度缓慢，验收程序滞后的问题，推进与计划依然存在着差距。</w:t>
      </w:r>
    </w:p>
    <w:p w14:paraId="1A95F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下一步工作重点：一是严把项目关。明确责任、集中力量，加快在建工程实施进度；项目计划下达后，迅速进行开工准备，确保项目及时启动；项目建设中，督促施工方确保质量，加快进度，完善项目管理资料；项目结束后，及时组织项目决算并申请验收。二是严把资金关。严守资金支付审批程序，科学管理项目资金，做到资金拨付与项目进度同步、资金报账与项目进度同步，坚决杜绝滞留、挤占、挪用、骗取、套取和改变专项资金用途等违纪违规行为发生，确保资金使用及时、安全、透明、高效。三是严把监督关。针对项目管理和财务管理中容易出现问题的关键节点，定期或不定期组织对项目日常管理、财务日常核算、资金公示公开、各类资料归档等方面进行全方位检查，发现问题及时完善、及时整改。</w:t>
      </w:r>
    </w:p>
    <w:p w14:paraId="2E4C3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五、绩效自评结果</w:t>
      </w:r>
    </w:p>
    <w:p w14:paraId="126AA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通过自评，我单位咸安区双溪桥镇汤垴村大屋金及峡山村一组两处滑坡治理工程项目得分96分，总体情况良好。</w:t>
      </w:r>
    </w:p>
    <w:p w14:paraId="5AE45E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六、绩效自评工作的经验、问题和建议</w:t>
      </w:r>
    </w:p>
    <w:p w14:paraId="16D72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通过开展项目绩效自评工作，可以更好的掌握项目管理及财务管理过程中存在的不足，进一步规范和完善项目管理和财务管理，为以后年度项目实施提供经验，并将绩效评价工作贯穿于整个项目实施过程。在以后的工作中将进一步对项目情况进行收集反馈，切实促进项目绩效管理工作。</w:t>
      </w:r>
    </w:p>
    <w:p w14:paraId="4BFCD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color w:val="494949"/>
          <w:spacing w:val="0"/>
          <w:sz w:val="30"/>
          <w:szCs w:val="30"/>
        </w:rPr>
        <w:t>七、其他需说明的问题</w:t>
      </w:r>
    </w:p>
    <w:p w14:paraId="3D452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pPr>
      <w:r>
        <w:rPr>
          <w:rFonts w:hint="eastAsia" w:ascii="仿宋" w:hAnsi="仿宋" w:eastAsia="仿宋" w:cs="仿宋"/>
          <w:color w:val="494949"/>
          <w:spacing w:val="0"/>
          <w:sz w:val="30"/>
          <w:szCs w:val="30"/>
        </w:rPr>
        <w:t>无</w:t>
      </w:r>
    </w:p>
    <w:p w14:paraId="3E516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8700"/>
        <w:jc w:val="both"/>
      </w:pPr>
      <w:r>
        <w:rPr>
          <w:rFonts w:hint="eastAsia" w:ascii="仿宋" w:hAnsi="仿宋" w:eastAsia="仿宋" w:cs="仿宋"/>
          <w:color w:val="494949"/>
          <w:spacing w:val="0"/>
          <w:sz w:val="30"/>
          <w:szCs w:val="30"/>
        </w:rPr>
        <w:t>咸宁市咸安区自然资源和规划局</w:t>
      </w:r>
    </w:p>
    <w:p w14:paraId="71459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pPr>
      <w:r>
        <w:rPr>
          <w:rFonts w:hint="eastAsia" w:ascii="仿宋" w:hAnsi="仿宋" w:eastAsia="仿宋" w:cs="仿宋"/>
          <w:color w:val="494949"/>
          <w:spacing w:val="0"/>
          <w:sz w:val="30"/>
          <w:szCs w:val="30"/>
        </w:rPr>
        <w:t>2023年4月27日</w:t>
      </w:r>
    </w:p>
    <w:p w14:paraId="1F2C46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pPr>
      <w:r>
        <w:rPr>
          <w:rFonts w:hint="default" w:ascii="仿宋_GB2312" w:eastAsia="仿宋_GB2312" w:cs="仿宋_GB2312"/>
          <w:sz w:val="31"/>
          <w:szCs w:val="31"/>
        </w:rPr>
        <w:t> </w:t>
      </w:r>
    </w:p>
    <w:p w14:paraId="4ABB8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仿宋_GB2312" w:eastAsia="仿宋_GB2312" w:cs="仿宋_GB2312"/>
          <w:sz w:val="28"/>
          <w:szCs w:val="28"/>
        </w:rPr>
        <w:t>附件2</w:t>
      </w:r>
    </w:p>
    <w:p w14:paraId="32ADB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ascii="方正小标宋简体" w:hAnsi="方正小标宋简体" w:eastAsia="方正小标宋简体" w:cs="方正小标宋简体"/>
          <w:sz w:val="36"/>
          <w:szCs w:val="36"/>
        </w:rPr>
        <w:t>咸安区双溪桥镇汤垴村大屋金及峡山村一组两处</w:t>
      </w:r>
    </w:p>
    <w:p w14:paraId="721EA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方正小标宋简体" w:hAnsi="方正小标宋简体" w:eastAsia="方正小标宋简体" w:cs="方正小标宋简体"/>
          <w:sz w:val="36"/>
          <w:szCs w:val="36"/>
        </w:rPr>
        <w:t>滑坡治理项目自评表</w:t>
      </w:r>
    </w:p>
    <w:p w14:paraId="559BF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ascii="楷体_GB2312" w:eastAsia="楷体_GB2312" w:cs="楷体_GB2312"/>
          <w:sz w:val="28"/>
          <w:szCs w:val="28"/>
        </w:rPr>
        <w:t>单位名称：</w:t>
      </w:r>
      <w:r>
        <w:rPr>
          <w:rFonts w:hint="default" w:ascii="楷体_GB2312" w:eastAsia="楷体_GB2312" w:cs="楷体_GB2312"/>
          <w:sz w:val="28"/>
          <w:szCs w:val="28"/>
        </w:rPr>
        <w:t>咸安区自然资源和规划局</w:t>
      </w:r>
      <w:r>
        <w:rPr>
          <w:rFonts w:hint="default" w:ascii="Times New Roman" w:hAnsi="Times New Roman" w:cs="Times New Roman"/>
          <w:sz w:val="28"/>
          <w:szCs w:val="28"/>
        </w:rPr>
        <w:t>   </w:t>
      </w:r>
      <w:r>
        <w:rPr>
          <w:rFonts w:hint="default" w:ascii="楷体_GB2312" w:eastAsia="楷体_GB2312" w:cs="楷体_GB2312"/>
          <w:sz w:val="28"/>
          <w:szCs w:val="28"/>
        </w:rPr>
        <w:t>  日期：</w:t>
      </w:r>
      <w:r>
        <w:rPr>
          <w:rFonts w:hint="default" w:ascii="Times New Roman" w:hAnsi="Times New Roman" w:cs="Times New Roman"/>
          <w:sz w:val="28"/>
          <w:szCs w:val="28"/>
        </w:rPr>
        <w:t>2023</w:t>
      </w:r>
      <w:r>
        <w:rPr>
          <w:rFonts w:hint="default" w:ascii="楷体_GB2312" w:eastAsia="楷体_GB2312" w:cs="楷体_GB2312"/>
          <w:sz w:val="28"/>
          <w:szCs w:val="28"/>
        </w:rPr>
        <w:t>年</w:t>
      </w:r>
      <w:r>
        <w:rPr>
          <w:rFonts w:hint="default" w:ascii="Times New Roman" w:hAnsi="Times New Roman" w:cs="Times New Roman"/>
          <w:sz w:val="28"/>
          <w:szCs w:val="28"/>
        </w:rPr>
        <w:t>4</w:t>
      </w:r>
      <w:r>
        <w:rPr>
          <w:rFonts w:hint="default" w:ascii="楷体_GB2312" w:eastAsia="楷体_GB2312" w:cs="楷体_GB2312"/>
          <w:sz w:val="28"/>
          <w:szCs w:val="28"/>
        </w:rPr>
        <w:t>月</w:t>
      </w:r>
      <w:r>
        <w:rPr>
          <w:rFonts w:hint="default" w:ascii="Times New Roman" w:hAnsi="Times New Roman" w:cs="Times New Roman"/>
          <w:sz w:val="28"/>
          <w:szCs w:val="28"/>
        </w:rPr>
        <w:t>27</w:t>
      </w:r>
      <w:r>
        <w:rPr>
          <w:rFonts w:hint="default" w:ascii="楷体_GB2312" w:eastAsia="楷体_GB2312" w:cs="楷体_GB2312"/>
          <w:sz w:val="28"/>
          <w:szCs w:val="28"/>
        </w:rPr>
        <w:t>日</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0"/>
        <w:gridCol w:w="695"/>
        <w:gridCol w:w="1062"/>
        <w:gridCol w:w="1251"/>
        <w:gridCol w:w="876"/>
        <w:gridCol w:w="374"/>
        <w:gridCol w:w="1382"/>
        <w:gridCol w:w="621"/>
        <w:gridCol w:w="628"/>
        <w:gridCol w:w="827"/>
      </w:tblGrid>
      <w:tr w14:paraId="1695BD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53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8F93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项目名称</w:t>
            </w:r>
          </w:p>
        </w:tc>
        <w:tc>
          <w:tcPr>
            <w:tcW w:w="7425" w:type="dxa"/>
            <w:gridSpan w:val="8"/>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67EE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咸安区双溪桥镇汤垴村大屋金及峡山村一组两处滑坡治理工程</w:t>
            </w:r>
          </w:p>
        </w:tc>
      </w:tr>
      <w:tr w14:paraId="43049F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5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424C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主管部门</w:t>
            </w:r>
          </w:p>
        </w:tc>
        <w:tc>
          <w:tcPr>
            <w:tcW w:w="336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D05B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 w:hAnsi="仿宋" w:eastAsia="仿宋" w:cs="仿宋"/>
                <w:sz w:val="21"/>
                <w:szCs w:val="21"/>
              </w:rPr>
              <w:t>咸安区自然资源和规划局</w:t>
            </w:r>
          </w:p>
        </w:tc>
        <w:tc>
          <w:tcPr>
            <w:tcW w:w="252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569A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项目实施单位</w:t>
            </w:r>
          </w:p>
        </w:tc>
        <w:tc>
          <w:tcPr>
            <w:tcW w:w="15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9D0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咸安区自然资源和规划局</w:t>
            </w:r>
            <w:r>
              <w:t>　</w:t>
            </w:r>
          </w:p>
        </w:tc>
      </w:tr>
      <w:tr w14:paraId="789356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5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4723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项目类别</w:t>
            </w:r>
          </w:p>
        </w:tc>
        <w:tc>
          <w:tcPr>
            <w:tcW w:w="7425"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F375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Times New Roman" w:hAnsi="Times New Roman" w:cs="Times New Roman"/>
                <w:sz w:val="21"/>
                <w:szCs w:val="21"/>
              </w:rPr>
              <w:t>1</w:t>
            </w:r>
            <w:r>
              <w:rPr>
                <w:rFonts w:hint="eastAsia" w:ascii="仿宋" w:hAnsi="仿宋" w:eastAsia="仿宋" w:cs="仿宋"/>
                <w:sz w:val="21"/>
                <w:szCs w:val="21"/>
              </w:rPr>
              <w:t>、部门预算项目   </w:t>
            </w:r>
            <w:r>
              <w:rPr>
                <w:rFonts w:ascii="Arial" w:hAnsi="Arial" w:cs="Arial"/>
                <w:sz w:val="21"/>
                <w:szCs w:val="21"/>
              </w:rPr>
              <w:t>√</w:t>
            </w:r>
            <w:r>
              <w:rPr>
                <w:rFonts w:hint="default" w:ascii="Times New Roman" w:hAnsi="Times New Roman" w:cs="Times New Roman"/>
                <w:sz w:val="21"/>
                <w:szCs w:val="21"/>
              </w:rPr>
              <w:t>     2</w:t>
            </w:r>
            <w:r>
              <w:rPr>
                <w:rFonts w:hint="eastAsia" w:ascii="仿宋" w:hAnsi="仿宋" w:eastAsia="仿宋" w:cs="仿宋"/>
                <w:sz w:val="21"/>
                <w:szCs w:val="21"/>
              </w:rPr>
              <w:t>、省直专项   </w:t>
            </w:r>
            <w:r>
              <w:rPr>
                <w:rFonts w:ascii="Wingdings" w:hAnsi="Wingdings" w:cs="Wingdings"/>
                <w:sz w:val="21"/>
                <w:szCs w:val="21"/>
              </w:rPr>
              <w:t>¨</w:t>
            </w:r>
            <w:r>
              <w:rPr>
                <w:rFonts w:hint="default" w:ascii="Times New Roman" w:hAnsi="Times New Roman" w:cs="Times New Roman"/>
                <w:sz w:val="21"/>
                <w:szCs w:val="21"/>
              </w:rPr>
              <w:t>    3</w:t>
            </w:r>
            <w:r>
              <w:rPr>
                <w:rFonts w:hint="eastAsia" w:ascii="仿宋" w:hAnsi="仿宋" w:eastAsia="仿宋" w:cs="仿宋"/>
                <w:sz w:val="21"/>
                <w:szCs w:val="21"/>
              </w:rPr>
              <w:t>、省对下转移支付项目 </w:t>
            </w:r>
            <w:r>
              <w:rPr>
                <w:rFonts w:hint="default" w:ascii="Wingdings" w:hAnsi="Wingdings" w:cs="Wingdings"/>
                <w:sz w:val="21"/>
                <w:szCs w:val="21"/>
              </w:rPr>
              <w:t>¨</w:t>
            </w:r>
          </w:p>
        </w:tc>
      </w:tr>
      <w:tr w14:paraId="0E71C4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5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592D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项目属性</w:t>
            </w:r>
          </w:p>
        </w:tc>
        <w:tc>
          <w:tcPr>
            <w:tcW w:w="7425"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50CC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Times New Roman" w:hAnsi="Times New Roman" w:cs="Times New Roman"/>
                <w:sz w:val="21"/>
                <w:szCs w:val="21"/>
              </w:rPr>
              <w:t>1</w:t>
            </w:r>
            <w:r>
              <w:rPr>
                <w:rFonts w:hint="eastAsia" w:ascii="仿宋" w:hAnsi="仿宋" w:eastAsia="仿宋" w:cs="仿宋"/>
                <w:sz w:val="21"/>
                <w:szCs w:val="21"/>
              </w:rPr>
              <w:t>、持续性项目     </w:t>
            </w:r>
            <w:r>
              <w:rPr>
                <w:rFonts w:hint="default" w:ascii="Wingdings" w:hAnsi="Wingdings" w:cs="Wingdings"/>
                <w:sz w:val="21"/>
                <w:szCs w:val="21"/>
              </w:rPr>
              <w:t>¨</w:t>
            </w:r>
            <w:r>
              <w:rPr>
                <w:rFonts w:hint="default" w:ascii="Times New Roman" w:hAnsi="Times New Roman" w:cs="Times New Roman"/>
                <w:sz w:val="21"/>
                <w:szCs w:val="21"/>
              </w:rPr>
              <w:t>    2</w:t>
            </w:r>
            <w:r>
              <w:rPr>
                <w:rFonts w:hint="eastAsia" w:ascii="仿宋" w:hAnsi="仿宋" w:eastAsia="仿宋" w:cs="仿宋"/>
                <w:sz w:val="21"/>
                <w:szCs w:val="21"/>
              </w:rPr>
              <w:t>、新增性项目 </w:t>
            </w:r>
            <w:r>
              <w:rPr>
                <w:rFonts w:hint="default" w:ascii="Arial" w:hAnsi="Arial" w:cs="Arial"/>
                <w:sz w:val="21"/>
                <w:szCs w:val="21"/>
              </w:rPr>
              <w:t>√</w:t>
            </w:r>
            <w:r>
              <w:rPr>
                <w:rFonts w:hint="default" w:ascii="Times New Roman" w:hAnsi="Times New Roman" w:cs="Times New Roman"/>
                <w:sz w:val="21"/>
                <w:szCs w:val="21"/>
              </w:rPr>
              <w:t> </w:t>
            </w:r>
          </w:p>
        </w:tc>
      </w:tr>
      <w:tr w14:paraId="686913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5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0A8A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项目类型</w:t>
            </w:r>
          </w:p>
        </w:tc>
        <w:tc>
          <w:tcPr>
            <w:tcW w:w="7425"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A9E3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Times New Roman" w:hAnsi="Times New Roman" w:cs="Times New Roman"/>
                <w:sz w:val="21"/>
                <w:szCs w:val="21"/>
              </w:rPr>
              <w:t>1</w:t>
            </w:r>
            <w:r>
              <w:rPr>
                <w:rFonts w:hint="eastAsia" w:ascii="仿宋" w:hAnsi="仿宋" w:eastAsia="仿宋" w:cs="仿宋"/>
                <w:sz w:val="21"/>
                <w:szCs w:val="21"/>
              </w:rPr>
              <w:t>、常年性项目     </w:t>
            </w:r>
            <w:r>
              <w:rPr>
                <w:rFonts w:hint="default" w:ascii="Wingdings" w:hAnsi="Wingdings" w:cs="Wingdings"/>
                <w:sz w:val="21"/>
                <w:szCs w:val="21"/>
              </w:rPr>
              <w:t>¨</w:t>
            </w:r>
            <w:r>
              <w:rPr>
                <w:rFonts w:hint="default" w:ascii="Times New Roman" w:hAnsi="Times New Roman" w:cs="Times New Roman"/>
                <w:sz w:val="21"/>
                <w:szCs w:val="21"/>
              </w:rPr>
              <w:t>    2</w:t>
            </w:r>
            <w:r>
              <w:rPr>
                <w:rFonts w:hint="eastAsia" w:ascii="仿宋" w:hAnsi="仿宋" w:eastAsia="仿宋" w:cs="仿宋"/>
                <w:sz w:val="21"/>
                <w:szCs w:val="21"/>
              </w:rPr>
              <w:t>、延续性项目 </w:t>
            </w:r>
            <w:r>
              <w:rPr>
                <w:rFonts w:hint="default" w:ascii="Arial" w:hAnsi="Arial" w:cs="Arial"/>
                <w:sz w:val="21"/>
                <w:szCs w:val="21"/>
              </w:rPr>
              <w:t>√</w:t>
            </w:r>
            <w:r>
              <w:rPr>
                <w:rFonts w:hint="default" w:ascii="Times New Roman" w:hAnsi="Times New Roman" w:cs="Times New Roman"/>
                <w:sz w:val="21"/>
                <w:szCs w:val="21"/>
              </w:rPr>
              <w:t>     3</w:t>
            </w:r>
            <w:r>
              <w:rPr>
                <w:rFonts w:hint="eastAsia" w:ascii="仿宋" w:hAnsi="仿宋" w:eastAsia="仿宋" w:cs="仿宋"/>
                <w:sz w:val="21"/>
                <w:szCs w:val="21"/>
              </w:rPr>
              <w:t>、一次性项目 </w:t>
            </w:r>
            <w:r>
              <w:rPr>
                <w:rFonts w:hint="default" w:ascii="Wingdings" w:hAnsi="Wingdings" w:cs="Wingdings"/>
                <w:sz w:val="21"/>
                <w:szCs w:val="21"/>
              </w:rPr>
              <w:t>¨</w:t>
            </w:r>
          </w:p>
        </w:tc>
      </w:tr>
      <w:tr w14:paraId="606BA6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530" w:type="dxa"/>
            <w:gridSpan w:val="2"/>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7195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预算执行情况（万元）</w:t>
            </w:r>
          </w:p>
          <w:p w14:paraId="6A0EC0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20</w:t>
            </w:r>
            <w:r>
              <w:rPr>
                <w:rFonts w:hint="eastAsia" w:ascii="仿宋" w:hAnsi="仿宋" w:eastAsia="仿宋" w:cs="仿宋"/>
                <w:sz w:val="21"/>
                <w:szCs w:val="21"/>
              </w:rPr>
              <w:t>分）</w:t>
            </w:r>
          </w:p>
        </w:tc>
        <w:tc>
          <w:tcPr>
            <w:tcW w:w="1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03125D">
            <w:pPr>
              <w:keepNext w:val="0"/>
              <w:keepLines w:val="0"/>
              <w:widowControl/>
              <w:suppressLineNumbers w:val="0"/>
              <w:wordWrap w:val="0"/>
              <w:spacing w:before="0" w:beforeAutospacing="0" w:after="0" w:afterAutospacing="0"/>
              <w:ind w:left="0" w:right="0"/>
              <w:jc w:val="left"/>
            </w:pPr>
          </w:p>
        </w:tc>
        <w:tc>
          <w:tcPr>
            <w:tcW w:w="13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3199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预算数（</w:t>
            </w:r>
            <w:r>
              <w:rPr>
                <w:rFonts w:hint="default" w:ascii="Times New Roman" w:hAnsi="Times New Roman" w:cs="Times New Roman"/>
                <w:sz w:val="21"/>
                <w:szCs w:val="21"/>
              </w:rPr>
              <w:t>A</w:t>
            </w:r>
            <w:r>
              <w:rPr>
                <w:rFonts w:hint="eastAsia" w:ascii="仿宋" w:hAnsi="仿宋" w:eastAsia="仿宋" w:cs="仿宋"/>
                <w:sz w:val="21"/>
                <w:szCs w:val="21"/>
              </w:rPr>
              <w:t>）</w:t>
            </w:r>
          </w:p>
        </w:tc>
        <w:tc>
          <w:tcPr>
            <w:tcW w:w="132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5A9A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执行数（</w:t>
            </w:r>
            <w:r>
              <w:rPr>
                <w:rFonts w:hint="default" w:ascii="Times New Roman" w:hAnsi="Times New Roman" w:cs="Times New Roman"/>
                <w:sz w:val="21"/>
                <w:szCs w:val="21"/>
              </w:rPr>
              <w:t>B</w:t>
            </w:r>
            <w:r>
              <w:rPr>
                <w:rFonts w:hint="eastAsia" w:ascii="仿宋" w:hAnsi="仿宋" w:eastAsia="仿宋" w:cs="仿宋"/>
                <w:sz w:val="21"/>
                <w:szCs w:val="21"/>
              </w:rPr>
              <w:t>）</w:t>
            </w:r>
          </w:p>
        </w:tc>
        <w:tc>
          <w:tcPr>
            <w:tcW w:w="14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8E7F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执行率（</w:t>
            </w:r>
            <w:r>
              <w:rPr>
                <w:rFonts w:hint="default" w:ascii="Times New Roman" w:hAnsi="Times New Roman" w:cs="Times New Roman"/>
                <w:sz w:val="21"/>
                <w:szCs w:val="21"/>
              </w:rPr>
              <w:t>B/A</w:t>
            </w:r>
            <w:r>
              <w:rPr>
                <w:rFonts w:hint="eastAsia" w:ascii="仿宋" w:hAnsi="仿宋" w:eastAsia="仿宋" w:cs="仿宋"/>
                <w:sz w:val="21"/>
                <w:szCs w:val="21"/>
              </w:rPr>
              <w:t>）</w:t>
            </w:r>
          </w:p>
        </w:tc>
        <w:tc>
          <w:tcPr>
            <w:tcW w:w="219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06D0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得分</w:t>
            </w:r>
          </w:p>
          <w:p w14:paraId="410441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20</w:t>
            </w:r>
            <w:r>
              <w:rPr>
                <w:rFonts w:hint="eastAsia" w:ascii="仿宋" w:hAnsi="仿宋" w:eastAsia="仿宋" w:cs="仿宋"/>
                <w:sz w:val="21"/>
                <w:szCs w:val="21"/>
              </w:rPr>
              <w:t>分</w:t>
            </w:r>
            <w:r>
              <w:rPr>
                <w:rFonts w:hint="default" w:ascii="Times New Roman" w:hAnsi="Times New Roman" w:cs="Times New Roman"/>
                <w:sz w:val="21"/>
                <w:szCs w:val="21"/>
              </w:rPr>
              <w:t>*</w:t>
            </w:r>
            <w:r>
              <w:rPr>
                <w:rFonts w:hint="eastAsia" w:ascii="仿宋" w:hAnsi="仿宋" w:eastAsia="仿宋" w:cs="仿宋"/>
                <w:sz w:val="21"/>
                <w:szCs w:val="21"/>
              </w:rPr>
              <w:t>执行率）</w:t>
            </w:r>
          </w:p>
        </w:tc>
      </w:tr>
      <w:tr w14:paraId="158680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530" w:type="dxa"/>
            <w:gridSpan w:val="2"/>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C9DB73">
            <w:pPr>
              <w:rPr>
                <w:rFonts w:hint="eastAsia" w:ascii="宋体"/>
                <w:sz w:val="24"/>
                <w:szCs w:val="24"/>
              </w:rPr>
            </w:pPr>
          </w:p>
        </w:tc>
        <w:tc>
          <w:tcPr>
            <w:tcW w:w="1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C5F5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年度财政资金总额</w:t>
            </w: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5168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140</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EC1E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139.32</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FD94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99.51%</w:t>
            </w:r>
          </w:p>
        </w:tc>
        <w:tc>
          <w:tcPr>
            <w:tcW w:w="21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903D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19.90</w:t>
            </w:r>
          </w:p>
        </w:tc>
      </w:tr>
      <w:tr w14:paraId="2735EA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D66F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年度绩效目标</w:t>
            </w:r>
          </w:p>
          <w:p w14:paraId="53CBBB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19"/>
                <w:szCs w:val="19"/>
              </w:rPr>
              <w:t>80</w:t>
            </w:r>
            <w:r>
              <w:rPr>
                <w:rFonts w:hint="eastAsia" w:ascii="仿宋" w:hAnsi="仿宋" w:eastAsia="仿宋" w:cs="仿宋"/>
                <w:sz w:val="21"/>
                <w:szCs w:val="21"/>
              </w:rPr>
              <w:t>分）</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D799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一级指标</w:t>
            </w:r>
          </w:p>
        </w:tc>
        <w:tc>
          <w:tcPr>
            <w:tcW w:w="1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1F8F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二级指标</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E900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三级指标</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015B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年初目标值（</w:t>
            </w:r>
            <w:r>
              <w:rPr>
                <w:rFonts w:hint="default" w:ascii="Times New Roman" w:hAnsi="Times New Roman" w:cs="Times New Roman"/>
                <w:sz w:val="21"/>
                <w:szCs w:val="21"/>
              </w:rPr>
              <w:t>A</w:t>
            </w:r>
            <w:r>
              <w:rPr>
                <w:rFonts w:hint="eastAsia" w:ascii="仿宋" w:hAnsi="仿宋" w:eastAsia="仿宋" w:cs="仿宋"/>
                <w:sz w:val="21"/>
                <w:szCs w:val="21"/>
              </w:rPr>
              <w:t>）</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CA14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实际完成值（</w:t>
            </w:r>
            <w:r>
              <w:rPr>
                <w:rFonts w:hint="default" w:ascii="Times New Roman" w:hAnsi="Times New Roman" w:cs="Times New Roman"/>
                <w:sz w:val="21"/>
                <w:szCs w:val="21"/>
              </w:rPr>
              <w:t>B</w:t>
            </w:r>
            <w:r>
              <w:rPr>
                <w:rFonts w:hint="eastAsia" w:ascii="仿宋" w:hAnsi="仿宋" w:eastAsia="仿宋" w:cs="仿宋"/>
                <w:sz w:val="21"/>
                <w:szCs w:val="21"/>
              </w:rPr>
              <w:t>）</w:t>
            </w: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2A4C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得分</w:t>
            </w:r>
          </w:p>
        </w:tc>
      </w:tr>
      <w:tr w14:paraId="5DBA02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B9F653">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A76A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产出指标</w:t>
            </w:r>
          </w:p>
        </w:tc>
        <w:tc>
          <w:tcPr>
            <w:tcW w:w="11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EA55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数量指标（</w:t>
            </w:r>
            <w:r>
              <w:rPr>
                <w:rFonts w:hint="default" w:ascii="Times New Roman" w:hAnsi="Times New Roman" w:cs="Times New Roman"/>
                <w:sz w:val="21"/>
                <w:szCs w:val="21"/>
              </w:rPr>
              <w:t>35</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785E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挡土墙浇筑方量</w:t>
            </w:r>
          </w:p>
          <w:p w14:paraId="65CDEC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7</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6433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937.68m³</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FC50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1060.84m³</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46B3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7</w:t>
            </w:r>
          </w:p>
        </w:tc>
      </w:tr>
      <w:tr w14:paraId="40C260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8CDAE5">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6ECD0B">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74C863">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9428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排水沟、电缆沟、地沟浇筑方量（</w:t>
            </w:r>
            <w:r>
              <w:rPr>
                <w:rFonts w:hint="default" w:ascii="Times New Roman" w:hAnsi="Times New Roman" w:cs="Times New Roman"/>
                <w:sz w:val="21"/>
                <w:szCs w:val="21"/>
              </w:rPr>
              <w:t>7</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0A2E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124.58m³</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9F80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99.78 m³</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3D0B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5.6</w:t>
            </w:r>
          </w:p>
        </w:tc>
      </w:tr>
      <w:tr w14:paraId="0A3F1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148D96">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43AD46">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E01E86">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76B6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播撒草籽（</w:t>
            </w:r>
            <w:r>
              <w:rPr>
                <w:rFonts w:hint="default" w:ascii="Times New Roman" w:hAnsi="Times New Roman" w:cs="Times New Roman"/>
                <w:sz w:val="21"/>
                <w:szCs w:val="21"/>
              </w:rPr>
              <w:t>7</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271D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630</w:t>
            </w:r>
            <w:r>
              <w:rPr>
                <w:rFonts w:hint="eastAsia" w:ascii="仿宋" w:hAnsi="仿宋" w:eastAsia="仿宋" w:cs="仿宋"/>
                <w:sz w:val="21"/>
                <w:szCs w:val="21"/>
              </w:rPr>
              <w:t>㎡</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FFFC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630</w:t>
            </w:r>
            <w:r>
              <w:rPr>
                <w:rFonts w:hint="eastAsia" w:ascii="仿宋" w:hAnsi="仿宋" w:eastAsia="仿宋" w:cs="仿宋"/>
                <w:sz w:val="21"/>
                <w:szCs w:val="21"/>
              </w:rPr>
              <w:t>㎡</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B36C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7</w:t>
            </w:r>
          </w:p>
        </w:tc>
      </w:tr>
      <w:tr w14:paraId="4803C8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3B326F">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BDCE86">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BCE49F">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2383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栽植灌木（</w:t>
            </w:r>
            <w:r>
              <w:rPr>
                <w:rFonts w:hint="default" w:ascii="Times New Roman" w:hAnsi="Times New Roman" w:cs="Times New Roman"/>
                <w:sz w:val="21"/>
                <w:szCs w:val="21"/>
              </w:rPr>
              <w:t>7</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B72B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2213</w:t>
            </w:r>
            <w:r>
              <w:rPr>
                <w:rFonts w:hint="eastAsia" w:ascii="仿宋" w:hAnsi="仿宋" w:eastAsia="仿宋" w:cs="仿宋"/>
                <w:sz w:val="21"/>
                <w:szCs w:val="21"/>
              </w:rPr>
              <w:t>株</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0177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2656</w:t>
            </w:r>
            <w:r>
              <w:rPr>
                <w:rFonts w:hint="eastAsia" w:ascii="仿宋" w:hAnsi="仿宋" w:eastAsia="仿宋" w:cs="仿宋"/>
                <w:sz w:val="21"/>
                <w:szCs w:val="21"/>
              </w:rPr>
              <w:t>株</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432C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7</w:t>
            </w:r>
          </w:p>
        </w:tc>
      </w:tr>
      <w:tr w14:paraId="393003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A69140">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9D34A4">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8EA448">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71AE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地质灾害隐患点治理项目数（</w:t>
            </w:r>
            <w:r>
              <w:rPr>
                <w:rFonts w:hint="default" w:ascii="Times New Roman" w:hAnsi="Times New Roman" w:cs="Times New Roman"/>
                <w:sz w:val="21"/>
                <w:szCs w:val="21"/>
              </w:rPr>
              <w:t>7</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3834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2</w:t>
            </w:r>
            <w:r>
              <w:rPr>
                <w:rFonts w:hint="eastAsia" w:ascii="仿宋" w:hAnsi="仿宋" w:eastAsia="仿宋" w:cs="仿宋"/>
                <w:sz w:val="21"/>
                <w:szCs w:val="21"/>
              </w:rPr>
              <w:t>个</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239C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2</w:t>
            </w:r>
            <w:r>
              <w:rPr>
                <w:rFonts w:hint="eastAsia" w:ascii="仿宋" w:hAnsi="仿宋" w:eastAsia="仿宋" w:cs="仿宋"/>
                <w:sz w:val="21"/>
                <w:szCs w:val="21"/>
              </w:rPr>
              <w:t>个</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3D88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7</w:t>
            </w:r>
          </w:p>
        </w:tc>
      </w:tr>
      <w:tr w14:paraId="4A1601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BAD0D7">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3D264A">
            <w:pPr>
              <w:rPr>
                <w:rFonts w:hint="eastAsia" w:ascii="宋体"/>
                <w:sz w:val="24"/>
                <w:szCs w:val="24"/>
              </w:rPr>
            </w:pPr>
          </w:p>
        </w:tc>
        <w:tc>
          <w:tcPr>
            <w:tcW w:w="11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9416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质量指标（</w:t>
            </w:r>
            <w:r>
              <w:rPr>
                <w:rFonts w:hint="default" w:ascii="Times New Roman" w:hAnsi="Times New Roman" w:cs="Times New Roman"/>
                <w:sz w:val="21"/>
                <w:szCs w:val="21"/>
              </w:rPr>
              <w:t>10</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F4E9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设计方案审查质量（</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7AC6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良好及以上</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BA06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良好</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A9AD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22E0C7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E95262">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1A6B5D">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4269C9">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39B8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竣工验收质量等级（</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9F5C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良好及以上</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5F67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良好</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E22F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353557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733293">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0CE9A5">
            <w:pPr>
              <w:rPr>
                <w:rFonts w:hint="eastAsia" w:ascii="宋体"/>
                <w:sz w:val="24"/>
                <w:szCs w:val="24"/>
              </w:rPr>
            </w:pPr>
          </w:p>
        </w:tc>
        <w:tc>
          <w:tcPr>
            <w:tcW w:w="11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9013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时效指标（</w:t>
            </w:r>
            <w:r>
              <w:rPr>
                <w:rFonts w:hint="default" w:ascii="Times New Roman" w:hAnsi="Times New Roman" w:cs="Times New Roman"/>
                <w:sz w:val="21"/>
                <w:szCs w:val="21"/>
              </w:rPr>
              <w:t>10</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6992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施工设计方案提交及时率（</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14AC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100%</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2825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100%</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6103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6FEC71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7B8922">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E77ECF">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FC62B4">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BFDC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施工工期按时完成率（</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A458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100%</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E64E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50%</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469C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2.5</w:t>
            </w:r>
          </w:p>
        </w:tc>
      </w:tr>
      <w:tr w14:paraId="389932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B2C06E">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35AE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效益指标（</w:t>
            </w:r>
            <w:r>
              <w:rPr>
                <w:rFonts w:hint="default" w:ascii="Times New Roman" w:hAnsi="Times New Roman" w:cs="Times New Roman"/>
                <w:sz w:val="21"/>
                <w:szCs w:val="21"/>
              </w:rPr>
              <w:t>15</w:t>
            </w:r>
            <w:r>
              <w:rPr>
                <w:rFonts w:hint="eastAsia" w:ascii="仿宋" w:hAnsi="仿宋" w:eastAsia="仿宋" w:cs="仿宋"/>
                <w:sz w:val="21"/>
                <w:szCs w:val="21"/>
              </w:rPr>
              <w:t>分）</w:t>
            </w:r>
          </w:p>
        </w:tc>
        <w:tc>
          <w:tcPr>
            <w:tcW w:w="1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DFFD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经济效益</w:t>
            </w:r>
          </w:p>
          <w:p w14:paraId="38C7BB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指标</w:t>
            </w:r>
          </w:p>
          <w:p w14:paraId="147F95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9054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避免造成人财产损失</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03CA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513</w:t>
            </w:r>
            <w:r>
              <w:rPr>
                <w:rFonts w:hint="eastAsia" w:ascii="仿宋" w:hAnsi="仿宋" w:eastAsia="仿宋" w:cs="仿宋"/>
                <w:sz w:val="21"/>
                <w:szCs w:val="21"/>
              </w:rPr>
              <w:t>万元</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2E9E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513</w:t>
            </w:r>
            <w:r>
              <w:rPr>
                <w:rFonts w:hint="eastAsia" w:ascii="仿宋" w:hAnsi="仿宋" w:eastAsia="仿宋" w:cs="仿宋"/>
                <w:sz w:val="21"/>
                <w:szCs w:val="21"/>
              </w:rPr>
              <w:t>万元</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1A79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56AC15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093BC0">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E647D5">
            <w:pPr>
              <w:rPr>
                <w:rFonts w:hint="eastAsia" w:ascii="宋体"/>
                <w:sz w:val="24"/>
                <w:szCs w:val="24"/>
              </w:rPr>
            </w:pPr>
          </w:p>
        </w:tc>
        <w:tc>
          <w:tcPr>
            <w:tcW w:w="1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3BE1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社会效益</w:t>
            </w:r>
          </w:p>
          <w:p w14:paraId="6A2789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指标</w:t>
            </w:r>
          </w:p>
          <w:p w14:paraId="5CFEE2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C890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保障居民人身财产安全</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C8FC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33</w:t>
            </w:r>
            <w:r>
              <w:rPr>
                <w:rFonts w:hint="eastAsia" w:ascii="仿宋" w:hAnsi="仿宋" w:eastAsia="仿宋" w:cs="仿宋"/>
                <w:sz w:val="21"/>
                <w:szCs w:val="21"/>
              </w:rPr>
              <w:t>人</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87B8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33</w:t>
            </w:r>
            <w:r>
              <w:rPr>
                <w:rFonts w:hint="eastAsia" w:ascii="仿宋" w:hAnsi="仿宋" w:eastAsia="仿宋" w:cs="仿宋"/>
                <w:sz w:val="21"/>
                <w:szCs w:val="21"/>
              </w:rPr>
              <w:t>人</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24FD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655F15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99715E">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3E30ED">
            <w:pPr>
              <w:rPr>
                <w:rFonts w:hint="eastAsia" w:ascii="宋体"/>
                <w:sz w:val="24"/>
                <w:szCs w:val="24"/>
              </w:rPr>
            </w:pPr>
          </w:p>
        </w:tc>
        <w:tc>
          <w:tcPr>
            <w:tcW w:w="1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20AD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生态效益</w:t>
            </w:r>
          </w:p>
          <w:p w14:paraId="6A42E5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指标</w:t>
            </w:r>
          </w:p>
          <w:p w14:paraId="3A7712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1CCC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降低造成的生态环境破坏</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9F9C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明显</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AAAC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明显</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4B35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373FCA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A37B13">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C0B0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满意度指标（</w:t>
            </w:r>
            <w:r>
              <w:rPr>
                <w:rFonts w:hint="default" w:ascii="Times New Roman" w:hAnsi="Times New Roman" w:cs="Times New Roman"/>
                <w:sz w:val="21"/>
                <w:szCs w:val="21"/>
              </w:rPr>
              <w:t>10</w:t>
            </w:r>
            <w:r>
              <w:rPr>
                <w:rFonts w:hint="eastAsia" w:ascii="仿宋" w:hAnsi="仿宋" w:eastAsia="仿宋" w:cs="仿宋"/>
                <w:sz w:val="21"/>
                <w:szCs w:val="21"/>
              </w:rPr>
              <w:t>分）</w:t>
            </w:r>
          </w:p>
        </w:tc>
        <w:tc>
          <w:tcPr>
            <w:tcW w:w="11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DC0C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服务对象满意度（</w:t>
            </w:r>
            <w:r>
              <w:rPr>
                <w:rFonts w:hint="default" w:ascii="Times New Roman" w:hAnsi="Times New Roman" w:cs="Times New Roman"/>
                <w:sz w:val="21"/>
                <w:szCs w:val="21"/>
              </w:rPr>
              <w:t>10</w:t>
            </w:r>
            <w:r>
              <w:rPr>
                <w:rFonts w:hint="eastAsia" w:ascii="仿宋" w:hAnsi="仿宋" w:eastAsia="仿宋" w:cs="仿宋"/>
                <w:sz w:val="21"/>
                <w:szCs w:val="21"/>
              </w:rPr>
              <w:t>分）</w:t>
            </w: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2AA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政府部门满意度</w:t>
            </w:r>
          </w:p>
          <w:p w14:paraId="2BB5C8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0CFF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满意</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5B6F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满意</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8029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6BFAC2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342E1E">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9FB6B4">
            <w:pPr>
              <w:rPr>
                <w:rFonts w:hint="eastAsia" w:ascii="宋体"/>
                <w:sz w:val="24"/>
                <w:szCs w:val="24"/>
              </w:rPr>
            </w:pPr>
          </w:p>
        </w:tc>
        <w:tc>
          <w:tcPr>
            <w:tcW w:w="11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A535CB">
            <w:pPr>
              <w:rPr>
                <w:rFonts w:hint="eastAsia" w:ascii="宋体"/>
                <w:sz w:val="24"/>
                <w:szCs w:val="24"/>
              </w:rPr>
            </w:pPr>
          </w:p>
        </w:tc>
        <w:tc>
          <w:tcPr>
            <w:tcW w:w="26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B946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受益群众满意度</w:t>
            </w:r>
          </w:p>
          <w:p w14:paraId="2F42C8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5</w:t>
            </w:r>
            <w:r>
              <w:rPr>
                <w:rFonts w:hint="eastAsia" w:ascii="仿宋" w:hAnsi="仿宋" w:eastAsia="仿宋" w:cs="仿宋"/>
                <w:sz w:val="21"/>
                <w:szCs w:val="21"/>
              </w:rPr>
              <w:t>分）</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5622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满意</w:t>
            </w:r>
          </w:p>
        </w:tc>
        <w:tc>
          <w:tcPr>
            <w:tcW w:w="1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21D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满意</w:t>
            </w: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2600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5</w:t>
            </w:r>
          </w:p>
        </w:tc>
      </w:tr>
      <w:tr w14:paraId="5903AB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8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FD68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总分</w:t>
            </w:r>
          </w:p>
        </w:tc>
        <w:tc>
          <w:tcPr>
            <w:tcW w:w="8115" w:type="dxa"/>
            <w:gridSpan w:val="9"/>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9507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rPr>
              <w:t>96.00</w:t>
            </w:r>
          </w:p>
        </w:tc>
      </w:tr>
    </w:tbl>
    <w:p w14:paraId="36770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仿宋_GB2312" w:eastAsia="仿宋_GB2312" w:cs="仿宋_GB2312"/>
          <w:sz w:val="31"/>
          <w:szCs w:val="31"/>
        </w:rPr>
        <w:t> </w:t>
      </w:r>
    </w:p>
    <w:p w14:paraId="3B630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仿宋" w:hAnsi="仿宋" w:eastAsia="仿宋" w:cs="仿宋"/>
          <w:sz w:val="30"/>
          <w:szCs w:val="30"/>
        </w:rPr>
        <w:t>附件：3   </w:t>
      </w:r>
      <w:r>
        <w:rPr>
          <w:rFonts w:hint="eastAsia" w:ascii="仿宋" w:hAnsi="仿宋" w:eastAsia="仿宋" w:cs="仿宋"/>
          <w:color w:val="494949"/>
          <w:spacing w:val="0"/>
          <w:sz w:val="30"/>
          <w:szCs w:val="30"/>
        </w:rPr>
        <w:t>2022年度省级财政转移支付地质灾害防治专项资金</w:t>
      </w:r>
    </w:p>
    <w:p w14:paraId="39F8E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0"/>
        <w:jc w:val="both"/>
      </w:pPr>
      <w:r>
        <w:rPr>
          <w:rFonts w:hint="eastAsia" w:ascii="仿宋" w:hAnsi="仿宋" w:eastAsia="仿宋" w:cs="仿宋"/>
          <w:color w:val="494949"/>
          <w:spacing w:val="0"/>
          <w:sz w:val="30"/>
          <w:szCs w:val="30"/>
        </w:rPr>
        <w:t>2022年度省级财政转移支付地质灾害防治专项资金绩效自评报告</w:t>
      </w:r>
    </w:p>
    <w:p w14:paraId="5A3A8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rPr>
          <w:sz w:val="39"/>
          <w:szCs w:val="39"/>
        </w:rPr>
      </w:pPr>
      <w:r>
        <w:rPr>
          <w:rStyle w:val="6"/>
          <w:rFonts w:hint="eastAsia" w:ascii="仿宋" w:hAnsi="仿宋" w:eastAsia="仿宋" w:cs="仿宋"/>
          <w:b/>
          <w:color w:val="333333"/>
          <w:spacing w:val="0"/>
          <w:sz w:val="30"/>
          <w:szCs w:val="30"/>
        </w:rPr>
        <w:t>根据《中华人民共和国预算法》、《中共中央 国务院关于全面实施预算绩效管理的意见》（中发[2018]34号）的相关要求。我局对2022年地质灾害防治专项资金进行自评，现将自评情况报告如下：</w:t>
      </w:r>
    </w:p>
    <w:p w14:paraId="745954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仿宋" w:hAnsi="仿宋" w:eastAsia="仿宋" w:cs="仿宋"/>
          <w:color w:val="494949"/>
          <w:spacing w:val="0"/>
          <w:sz w:val="30"/>
          <w:szCs w:val="30"/>
        </w:rPr>
        <w:t>1、项目基本情况</w:t>
      </w:r>
    </w:p>
    <w:p w14:paraId="69D6A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color w:val="494949"/>
          <w:spacing w:val="0"/>
          <w:sz w:val="30"/>
          <w:szCs w:val="30"/>
        </w:rPr>
        <w:t>（一）项目立项情况</w:t>
      </w:r>
    </w:p>
    <w:p w14:paraId="3F008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我单位地质与矿产资源管理股负责承担咸安区地质灾害防治项目的相关工作。项目旨在进一步完善和提升咸安区地质灾害综合防治技术支撑体系的防范应对能力建设，通过资源整合、职能强化、下沉县乡，重点解决基层难以完成地质灾害巡查排查核查、气象风险预报预警、群测群防、普适型监测、专业监测、综合防治、应急救援、宣传培训、信息汇总、数据管理交换应用等技术工作的短板问题。按照党的十九大提出的“加强地质灾害防治”总体要求，将“人民至上、生命至上”的理念和“两个坚持、三个转变” （坚持以防为主、防抗救相结合，坚持常态减灾和非常态救灾相统一；从注重灾后救助向注重灾前预防转变，从应对单一灾种向综合减灾转变，从减少灾害损失向减轻灾害风险转变。）贯穿于地质灾害防治工作各个环节，以保护人民群众生命财产安全为根本，强化全区地质灾害调查评价、监测预警、工程治理(应急处置)和能力建设，全面提升我区地质灾害综合防治能力。</w:t>
      </w:r>
    </w:p>
    <w:p w14:paraId="16867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pPr>
      <w:r>
        <w:rPr>
          <w:rFonts w:hint="eastAsia" w:ascii="仿宋" w:hAnsi="仿宋" w:eastAsia="仿宋" w:cs="仿宋"/>
          <w:color w:val="494949"/>
          <w:spacing w:val="0"/>
          <w:sz w:val="30"/>
          <w:szCs w:val="30"/>
        </w:rPr>
        <w:t>2、项目绩效目标</w:t>
      </w:r>
    </w:p>
    <w:p w14:paraId="76277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项目年度目标为支持地质灾害综合防治体系的建设，提升地质灾害综合防治能力。</w:t>
      </w:r>
    </w:p>
    <w:p w14:paraId="11E27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⑴组织实施工作经费。包括制作、更新警示牌、宣传版面等地质灾害防治宣传资料；购置应急所需装备；建立地质灾害预警短信平台；组织开展群测群防员业务地质灾害防治知识培训、演练；群测群防员工资。</w:t>
      </w:r>
    </w:p>
    <w:p w14:paraId="7467C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⑵调查经费。地质灾害防治技术支撑经费。</w:t>
      </w:r>
    </w:p>
    <w:p w14:paraId="46199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494949"/>
          <w:spacing w:val="0"/>
          <w:sz w:val="30"/>
          <w:szCs w:val="30"/>
        </w:rPr>
        <w:t>3、资金来源及使用情况</w:t>
      </w:r>
    </w:p>
    <w:p w14:paraId="65366E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both"/>
      </w:pPr>
      <w:r>
        <w:rPr>
          <w:rFonts w:hint="eastAsia" w:ascii="仿宋" w:hAnsi="仿宋" w:eastAsia="仿宋" w:cs="仿宋"/>
          <w:sz w:val="30"/>
          <w:szCs w:val="30"/>
        </w:rPr>
        <w:t>地质灾害防治项目资金来源于省级专项资金。项目全年预算40.00万元，实际到位资金40.00万元。2022年全年总计支出41.78万元。主要用于地质灾害防治技术支撑10万元，乡镇基层巡排查油费10万元，监测员补助7.06万元，应急装备采购6.83万元，地质灾害防治演练4万元，地质灾害防治宣传资料2.99万元，建立地质灾害预警短信平台0.9万元。超支部分由单位统筹安排。</w:t>
      </w:r>
    </w:p>
    <w:p w14:paraId="5ECBD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494949"/>
          <w:spacing w:val="0"/>
          <w:sz w:val="30"/>
          <w:szCs w:val="30"/>
        </w:rPr>
        <w:t>4、项目实施及自评工作情况</w:t>
      </w:r>
    </w:p>
    <w:p w14:paraId="636EE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根据《省自然资源厅关于下达2022年度省级财政转移支付地质灾害防治专项资金项目任务的通知》（鄂自然函[2022]154号）附件2中2022年度省级财政转移支付地质灾害防治专项资金绩效目标表（经费拨款）要求，各项工作考核合格。同时为进一步规范财政资金管理，强化部门责任意识，切实提高资金使用效益，我局对项目实施进行了绩效自评，判断2022年咸安区地质灾害防治项目资金使用的效率性和效益性，明确资金使用中存在的问题和风险，并提出合理化建议。</w:t>
      </w:r>
    </w:p>
    <w:p w14:paraId="01CDA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494949"/>
          <w:spacing w:val="0"/>
          <w:sz w:val="30"/>
          <w:szCs w:val="30"/>
        </w:rPr>
        <w:t>5、绩效评价指标分析情况</w:t>
      </w:r>
    </w:p>
    <w:p w14:paraId="05C80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color w:val="494949"/>
          <w:spacing w:val="0"/>
          <w:sz w:val="30"/>
          <w:szCs w:val="30"/>
        </w:rPr>
        <w:t>（一）总体绩效目标完成情况分析</w:t>
      </w:r>
    </w:p>
    <w:p w14:paraId="0B2DA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夯实地质灾害调查评价、群测群防、监测预警能力，扎实推进地质灾害动态排查、核查和详细调查以及监测预警能力，确保人民生命财产安全。</w:t>
      </w:r>
    </w:p>
    <w:p w14:paraId="24C73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color w:val="494949"/>
          <w:spacing w:val="0"/>
          <w:sz w:val="30"/>
          <w:szCs w:val="30"/>
        </w:rPr>
        <w:t>（二）绩效指标完成情况分析</w:t>
      </w:r>
    </w:p>
    <w:p w14:paraId="4CA5C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绩效目标指标设置6项，其中数量指标2项、时效指标1项均已完成。社会效益指标地质灾害隐患“三查”覆盖率、地质灾害隐患管控合格，</w:t>
      </w:r>
      <w:r>
        <w:rPr>
          <w:rFonts w:hint="eastAsia" w:ascii="仿宋" w:hAnsi="仿宋" w:eastAsia="仿宋" w:cs="仿宋"/>
          <w:color w:val="494949"/>
          <w:spacing w:val="0"/>
          <w:sz w:val="30"/>
          <w:szCs w:val="30"/>
        </w:rPr>
        <w:t>实施区域受益人群满意度</w:t>
      </w:r>
      <w:r>
        <w:rPr>
          <w:rFonts w:hint="eastAsia" w:ascii="仿宋" w:hAnsi="仿宋" w:eastAsia="仿宋" w:cs="仿宋"/>
          <w:sz w:val="30"/>
          <w:szCs w:val="30"/>
        </w:rPr>
        <w:t>95%。</w:t>
      </w:r>
    </w:p>
    <w:p w14:paraId="4B025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color w:val="494949"/>
          <w:spacing w:val="0"/>
          <w:sz w:val="30"/>
          <w:szCs w:val="30"/>
        </w:rPr>
        <w:t>（三）评价结果</w:t>
      </w:r>
    </w:p>
    <w:p w14:paraId="527FF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仿宋" w:hAnsi="仿宋" w:eastAsia="仿宋" w:cs="仿宋"/>
          <w:sz w:val="30"/>
          <w:szCs w:val="30"/>
        </w:rPr>
        <w:t>2022年度省级财政转移支付地质灾害防治专项资金使用方向符合相关规定，取得一定的社会效益，自评得分99.1分，达到预期绩效目标。</w:t>
      </w:r>
    </w:p>
    <w:p w14:paraId="37287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494949"/>
          <w:spacing w:val="0"/>
          <w:sz w:val="30"/>
          <w:szCs w:val="30"/>
        </w:rPr>
        <w:t>6、成本效益分析</w:t>
      </w:r>
    </w:p>
    <w:p w14:paraId="4A564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仿宋" w:hAnsi="仿宋" w:eastAsia="仿宋" w:cs="仿宋"/>
          <w:color w:val="333333"/>
          <w:spacing w:val="0"/>
          <w:sz w:val="30"/>
          <w:szCs w:val="30"/>
        </w:rPr>
        <w:t>通过逐年地质灾害防治应急能力技术支撑体系建设工作的开展，减轻地质灾害威胁，落实推进地质灾害“三查”，降低群众受灾风险。强化监督，细化项目实施，研究解决项目实施过程中的困难问题，切实提高资金执行率。</w:t>
      </w:r>
    </w:p>
    <w:p w14:paraId="28B2A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494949"/>
          <w:spacing w:val="0"/>
          <w:sz w:val="30"/>
          <w:szCs w:val="30"/>
        </w:rPr>
        <w:t>7、主要经验及做法、存在的问题和建议</w:t>
      </w:r>
    </w:p>
    <w:p w14:paraId="7027E9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仿宋" w:hAnsi="仿宋" w:eastAsia="仿宋" w:cs="仿宋"/>
          <w:color w:val="333333"/>
          <w:spacing w:val="0"/>
          <w:sz w:val="30"/>
          <w:szCs w:val="30"/>
        </w:rPr>
        <w:t>（1）科学编制预算，进一步加强预算管理意识。严格按照预算编制的相关规定要求进行预算编制，加强内部预算编制的审核预算指标的下达，提高预算的合理性和准确性。</w:t>
      </w:r>
    </w:p>
    <w:p w14:paraId="4A656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仿宋" w:hAnsi="仿宋" w:eastAsia="仿宋" w:cs="仿宋"/>
          <w:color w:val="333333"/>
          <w:spacing w:val="0"/>
          <w:sz w:val="30"/>
          <w:szCs w:val="30"/>
        </w:rPr>
        <w:t>（2）加强财务管理，严格财务审核。在费用报账支付时，按照预算规定的费用项目和用途进行资金使用审核，列报支付、财务核算。</w:t>
      </w:r>
    </w:p>
    <w:p w14:paraId="78C7F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仿宋" w:hAnsi="仿宋" w:eastAsia="仿宋" w:cs="仿宋"/>
          <w:color w:val="333333"/>
          <w:spacing w:val="0"/>
          <w:sz w:val="30"/>
          <w:szCs w:val="30"/>
        </w:rPr>
        <w:t>（3）持续抓好经费控制管理，严格控制经费支出的审核、审批，合理压缩经费支出，杜绝挪用和挤占其他预算资金行为。</w:t>
      </w:r>
    </w:p>
    <w:p w14:paraId="03C91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仿宋" w:hAnsi="仿宋" w:eastAsia="仿宋" w:cs="仿宋"/>
          <w:color w:val="333333"/>
          <w:spacing w:val="0"/>
          <w:sz w:val="30"/>
          <w:szCs w:val="30"/>
        </w:rPr>
        <w:t>（4）坚持科学长效管理，不断提高不动产管理水平和服务质量，指导各项地质灾害防灾减灾工作。</w:t>
      </w:r>
    </w:p>
    <w:p w14:paraId="0B4B8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仿宋" w:hAnsi="仿宋" w:eastAsia="仿宋" w:cs="仿宋"/>
          <w:color w:val="494949"/>
          <w:spacing w:val="0"/>
          <w:sz w:val="30"/>
          <w:szCs w:val="30"/>
        </w:rPr>
        <w:t>八、其他需要说明的问题</w:t>
      </w:r>
    </w:p>
    <w:p w14:paraId="3DC2A6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仿宋" w:hAnsi="仿宋" w:eastAsia="仿宋" w:cs="仿宋"/>
          <w:color w:val="333333"/>
          <w:spacing w:val="0"/>
          <w:sz w:val="30"/>
          <w:szCs w:val="30"/>
        </w:rPr>
        <w:t> 无</w:t>
      </w:r>
    </w:p>
    <w:p w14:paraId="00433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9750"/>
        <w:jc w:val="both"/>
      </w:pPr>
      <w:r>
        <w:rPr>
          <w:rFonts w:hint="eastAsia" w:ascii="仿宋" w:hAnsi="仿宋" w:eastAsia="仿宋" w:cs="仿宋"/>
          <w:color w:val="494949"/>
          <w:spacing w:val="0"/>
          <w:sz w:val="30"/>
          <w:szCs w:val="30"/>
        </w:rPr>
        <w:t>咸安区自然资源和规划局</w:t>
      </w:r>
    </w:p>
    <w:p w14:paraId="65963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pPr>
      <w:r>
        <w:rPr>
          <w:rFonts w:hint="eastAsia" w:ascii="仿宋" w:hAnsi="仿宋" w:eastAsia="仿宋" w:cs="仿宋"/>
          <w:color w:val="494949"/>
          <w:spacing w:val="0"/>
          <w:sz w:val="30"/>
          <w:szCs w:val="30"/>
        </w:rPr>
        <w:t>2023年4月28日</w:t>
      </w:r>
    </w:p>
    <w:p w14:paraId="3E5BB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494949"/>
          <w:spacing w:val="0"/>
          <w:sz w:val="30"/>
          <w:szCs w:val="30"/>
        </w:rPr>
        <w:t> </w:t>
      </w:r>
    </w:p>
    <w:p w14:paraId="7D898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375"/>
      </w:pPr>
      <w:r>
        <w:rPr>
          <w:rStyle w:val="6"/>
          <w:rFonts w:hint="eastAsia" w:ascii="仿宋" w:hAnsi="仿宋" w:eastAsia="仿宋" w:cs="仿宋"/>
          <w:color w:val="494949"/>
          <w:spacing w:val="0"/>
          <w:sz w:val="28"/>
          <w:szCs w:val="28"/>
        </w:rPr>
        <w:t> </w:t>
      </w:r>
    </w:p>
    <w:p w14:paraId="47449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375"/>
      </w:pPr>
      <w:r>
        <w:rPr>
          <w:rStyle w:val="6"/>
          <w:rFonts w:hint="eastAsia" w:ascii="仿宋" w:hAnsi="仿宋" w:eastAsia="仿宋" w:cs="仿宋"/>
          <w:color w:val="494949"/>
          <w:spacing w:val="0"/>
          <w:sz w:val="28"/>
          <w:szCs w:val="28"/>
        </w:rPr>
        <w:t>2022年度省级财政转移支付地质灾害防治专项资金绩效目标自评表</w:t>
      </w:r>
    </w:p>
    <w:p w14:paraId="52742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pacing w:val="0"/>
          <w:sz w:val="24"/>
          <w:szCs w:val="24"/>
        </w:rPr>
        <w:t>填报单位：咸安区自然资源和规划局            填报日期：2023年4月28日</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1193"/>
        <w:gridCol w:w="1486"/>
        <w:gridCol w:w="1251"/>
        <w:gridCol w:w="1239"/>
        <w:gridCol w:w="1010"/>
        <w:gridCol w:w="305"/>
        <w:gridCol w:w="305"/>
        <w:gridCol w:w="1036"/>
      </w:tblGrid>
      <w:tr w14:paraId="1C07C1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261A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专项名称</w:t>
            </w:r>
          </w:p>
        </w:tc>
        <w:tc>
          <w:tcPr>
            <w:tcW w:w="0" w:type="auto"/>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0ECD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2022年度省级财政转移支付地质灾害防治专项资金</w:t>
            </w:r>
          </w:p>
        </w:tc>
      </w:tr>
      <w:tr w14:paraId="1DAED0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F250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省级主管部门</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613E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省自然资源厅</w:t>
            </w:r>
          </w:p>
        </w:tc>
        <w:tc>
          <w:tcPr>
            <w:tcW w:w="0" w:type="auto"/>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B50F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专项实施期</w:t>
            </w:r>
          </w:p>
        </w:tc>
        <w:tc>
          <w:tcPr>
            <w:tcW w:w="0" w:type="auto"/>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574D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2022年</w:t>
            </w:r>
          </w:p>
        </w:tc>
      </w:tr>
      <w:tr w14:paraId="170A61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3A1E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县级财政部门</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F930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咸安区财政局</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A8F4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县级主管部门</w:t>
            </w:r>
          </w:p>
        </w:tc>
        <w:tc>
          <w:tcPr>
            <w:tcW w:w="0" w:type="auto"/>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8610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咸安区自然资源和规划局</w:t>
            </w:r>
          </w:p>
        </w:tc>
      </w:tr>
      <w:tr w14:paraId="7E927B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7175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补助金额（万元）</w:t>
            </w:r>
          </w:p>
        </w:tc>
        <w:tc>
          <w:tcPr>
            <w:tcW w:w="0" w:type="auto"/>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6D4D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40</w:t>
            </w:r>
          </w:p>
        </w:tc>
      </w:tr>
      <w:tr w14:paraId="0629FF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0" w:hRule="atLeast"/>
        </w:trPr>
        <w:tc>
          <w:tcPr>
            <w:tcW w:w="0" w:type="auto"/>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F71A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年度目标</w:t>
            </w:r>
          </w:p>
        </w:tc>
        <w:tc>
          <w:tcPr>
            <w:tcW w:w="0" w:type="auto"/>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4581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center"/>
            </w:pPr>
            <w:r>
              <w:rPr>
                <w:rFonts w:hint="eastAsia" w:ascii="仿宋" w:hAnsi="仿宋" w:eastAsia="仿宋" w:cs="仿宋"/>
                <w:spacing w:val="0"/>
                <w:sz w:val="24"/>
                <w:szCs w:val="24"/>
              </w:rPr>
              <w:t>支持地质灾害综合防治体系建设，开展防治能力建设，提升地质灾害综合防治能力。</w:t>
            </w:r>
          </w:p>
        </w:tc>
      </w:tr>
      <w:tr w14:paraId="51DC95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0" w:hRule="atLeast"/>
        </w:trPr>
        <w:tc>
          <w:tcPr>
            <w:tcW w:w="0" w:type="auto"/>
            <w:gridSpan w:val="2"/>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B150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4"/>
                <w:szCs w:val="24"/>
              </w:rPr>
              <w:t>预算执行情况（万元）</w:t>
            </w:r>
          </w:p>
          <w:p w14:paraId="7D29B8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z w:val="24"/>
                <w:szCs w:val="24"/>
              </w:rPr>
              <w:t>（20分）</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D7EE76">
            <w:pPr>
              <w:keepNext w:val="0"/>
              <w:keepLines w:val="0"/>
              <w:widowControl/>
              <w:suppressLineNumbers w:val="0"/>
              <w:wordWrap w:val="0"/>
              <w:spacing w:before="0" w:beforeAutospacing="0" w:after="0" w:afterAutospacing="0"/>
              <w:ind w:left="0" w:right="0"/>
              <w:jc w:val="left"/>
            </w:pPr>
          </w:p>
        </w:tc>
        <w:tc>
          <w:tcPr>
            <w:tcW w:w="0" w:type="auto"/>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6C40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预算数（</w:t>
            </w:r>
            <w:r>
              <w:rPr>
                <w:rFonts w:hint="default" w:ascii="Times New Roman" w:hAnsi="Times New Roman" w:cs="Times New Roman"/>
                <w:sz w:val="21"/>
                <w:szCs w:val="21"/>
              </w:rPr>
              <w:t>A</w:t>
            </w:r>
            <w:r>
              <w:rPr>
                <w:rFonts w:hint="eastAsia" w:ascii="仿宋" w:hAnsi="仿宋" w:eastAsia="仿宋" w:cs="仿宋"/>
                <w:sz w:val="21"/>
                <w:szCs w:val="21"/>
              </w:rPr>
              <w:t>）</w:t>
            </w:r>
          </w:p>
        </w:tc>
        <w:tc>
          <w:tcPr>
            <w:tcW w:w="0" w:type="auto"/>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5B5B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执行数（</w:t>
            </w:r>
            <w:r>
              <w:rPr>
                <w:rFonts w:hint="default" w:ascii="Times New Roman" w:hAnsi="Times New Roman" w:cs="Times New Roman"/>
                <w:sz w:val="21"/>
                <w:szCs w:val="21"/>
              </w:rPr>
              <w:t>B</w:t>
            </w:r>
            <w:r>
              <w:rPr>
                <w:rFonts w:hint="eastAsia" w:ascii="仿宋" w:hAnsi="仿宋" w:eastAsia="仿宋" w:cs="仿宋"/>
                <w:sz w:val="21"/>
                <w:szCs w:val="21"/>
              </w:rPr>
              <w:t>）</w:t>
            </w:r>
          </w:p>
        </w:tc>
        <w:tc>
          <w:tcPr>
            <w:tcW w:w="0" w:type="auto"/>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B740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执行率（</w:t>
            </w:r>
            <w:r>
              <w:rPr>
                <w:rFonts w:hint="default" w:ascii="Times New Roman" w:hAnsi="Times New Roman" w:cs="Times New Roman"/>
                <w:sz w:val="21"/>
                <w:szCs w:val="21"/>
              </w:rPr>
              <w:t>B/A</w:t>
            </w:r>
            <w:r>
              <w:rPr>
                <w:rFonts w:hint="eastAsia" w:ascii="仿宋" w:hAnsi="仿宋" w:eastAsia="仿宋" w:cs="仿宋"/>
                <w:sz w:val="21"/>
                <w:szCs w:val="21"/>
              </w:rPr>
              <w:t>）</w:t>
            </w:r>
          </w:p>
        </w:tc>
        <w:tc>
          <w:tcPr>
            <w:tcW w:w="0" w:type="auto"/>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7E7C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得分</w:t>
            </w:r>
          </w:p>
          <w:p w14:paraId="7E5510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1"/>
                <w:szCs w:val="21"/>
              </w:rPr>
              <w:t>（</w:t>
            </w:r>
            <w:r>
              <w:rPr>
                <w:rFonts w:hint="default" w:ascii="Times New Roman" w:hAnsi="Times New Roman" w:cs="Times New Roman"/>
                <w:sz w:val="21"/>
                <w:szCs w:val="21"/>
              </w:rPr>
              <w:t>20</w:t>
            </w:r>
            <w:r>
              <w:rPr>
                <w:rFonts w:hint="eastAsia" w:ascii="仿宋" w:hAnsi="仿宋" w:eastAsia="仿宋" w:cs="仿宋"/>
                <w:sz w:val="21"/>
                <w:szCs w:val="21"/>
              </w:rPr>
              <w:t>分</w:t>
            </w:r>
            <w:r>
              <w:rPr>
                <w:rFonts w:hint="default" w:ascii="Times New Roman" w:hAnsi="Times New Roman" w:cs="Times New Roman"/>
                <w:sz w:val="21"/>
                <w:szCs w:val="21"/>
              </w:rPr>
              <w:t>*</w:t>
            </w:r>
            <w:r>
              <w:rPr>
                <w:rFonts w:hint="eastAsia" w:ascii="仿宋" w:hAnsi="仿宋" w:eastAsia="仿宋" w:cs="仿宋"/>
                <w:sz w:val="21"/>
                <w:szCs w:val="21"/>
              </w:rPr>
              <w:t>执行率）</w:t>
            </w:r>
          </w:p>
        </w:tc>
      </w:tr>
      <w:tr w14:paraId="0A05E2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0" w:hRule="atLeast"/>
        </w:trPr>
        <w:tc>
          <w:tcPr>
            <w:tcW w:w="0" w:type="auto"/>
            <w:gridSpan w:val="2"/>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763455">
            <w:pPr>
              <w:rPr>
                <w:rFonts w:hint="eastAsia" w:ascii="宋体"/>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E5F5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4"/>
                <w:szCs w:val="24"/>
              </w:rPr>
              <w:t>年度财政资金总额</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41DB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pacing w:val="0"/>
                <w:sz w:val="24"/>
                <w:szCs w:val="24"/>
              </w:rPr>
              <w:t>40</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E40D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pacing w:val="0"/>
                <w:sz w:val="24"/>
                <w:szCs w:val="24"/>
              </w:rPr>
              <w:t>41.78</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4246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pacing w:val="0"/>
                <w:sz w:val="24"/>
                <w:szCs w:val="24"/>
              </w:rPr>
              <w:t>104.46%</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0A49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pacing w:val="0"/>
                <w:sz w:val="24"/>
                <w:szCs w:val="24"/>
              </w:rPr>
              <w:t>19.1</w:t>
            </w:r>
          </w:p>
        </w:tc>
      </w:tr>
      <w:tr w14:paraId="61E43B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29B8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绩效目标</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A6DC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一级指标</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11D0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二级指标</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4083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三级指标</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5D01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指标值</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36CB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完成值</w:t>
            </w:r>
          </w:p>
        </w:tc>
        <w:tc>
          <w:tcPr>
            <w:tcW w:w="0" w:type="auto"/>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FB57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得分</w:t>
            </w:r>
          </w:p>
        </w:tc>
      </w:tr>
      <w:tr w14:paraId="5D6F25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3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3B5B36">
            <w:pPr>
              <w:rPr>
                <w:rFonts w:hint="eastAsia" w:ascii="宋体"/>
                <w:sz w:val="24"/>
                <w:szCs w:val="24"/>
              </w:rPr>
            </w:pPr>
          </w:p>
        </w:tc>
        <w:tc>
          <w:tcPr>
            <w:tcW w:w="0" w:type="auto"/>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E35C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产出指标</w:t>
            </w:r>
          </w:p>
          <w:p w14:paraId="0CB1CB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（50分）</w:t>
            </w:r>
          </w:p>
        </w:tc>
        <w:tc>
          <w:tcPr>
            <w:tcW w:w="0" w:type="auto"/>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8F9B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数量指标</w:t>
            </w:r>
          </w:p>
          <w:p w14:paraId="537EBE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（40分）</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15ED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地质灾害隐患点培训/演练覆盖率</w:t>
            </w:r>
          </w:p>
          <w:p w14:paraId="4BDCE5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（20分）</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C051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F2B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7F42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20</w:t>
            </w:r>
          </w:p>
        </w:tc>
      </w:tr>
      <w:tr w14:paraId="09412A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FFC09F">
            <w:pPr>
              <w:rPr>
                <w:rFonts w:hint="eastAsia" w:ascii="宋体"/>
                <w:sz w:val="24"/>
                <w:szCs w:val="24"/>
              </w:rPr>
            </w:pPr>
          </w:p>
        </w:tc>
        <w:tc>
          <w:tcPr>
            <w:tcW w:w="0" w:type="auto"/>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0D8526">
            <w:pPr>
              <w:rPr>
                <w:rFonts w:hint="eastAsia" w:ascii="宋体"/>
                <w:sz w:val="24"/>
                <w:szCs w:val="24"/>
              </w:rPr>
            </w:pPr>
          </w:p>
        </w:tc>
        <w:tc>
          <w:tcPr>
            <w:tcW w:w="0" w:type="auto"/>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4064ED">
            <w:pPr>
              <w:rPr>
                <w:rFonts w:hint="eastAsia" w:ascii="宋体"/>
                <w:sz w:val="24"/>
                <w:szCs w:val="24"/>
              </w:rPr>
            </w:pP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2C79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地质灾害群测群防覆盖率</w:t>
            </w:r>
          </w:p>
          <w:p w14:paraId="53A0BF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（20分）</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41C3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5A24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1BDE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20</w:t>
            </w:r>
          </w:p>
        </w:tc>
      </w:tr>
      <w:tr w14:paraId="379052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5694E7">
            <w:pPr>
              <w:rPr>
                <w:rFonts w:hint="eastAsia" w:ascii="宋体"/>
                <w:sz w:val="24"/>
                <w:szCs w:val="24"/>
              </w:rPr>
            </w:pPr>
          </w:p>
        </w:tc>
        <w:tc>
          <w:tcPr>
            <w:tcW w:w="0" w:type="auto"/>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38BA9C">
            <w:pPr>
              <w:rPr>
                <w:rFonts w:hint="eastAsia" w:ascii="宋体"/>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5B81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时效指标</w:t>
            </w:r>
          </w:p>
          <w:p w14:paraId="32A512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（10分）</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1326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按时编制并启动2022年度实施方案</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5AB7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ADB4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F3DF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w:t>
            </w:r>
          </w:p>
        </w:tc>
      </w:tr>
      <w:tr w14:paraId="3526F4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219FED">
            <w:pPr>
              <w:rPr>
                <w:rFonts w:hint="eastAsia" w:ascii="宋体"/>
                <w:sz w:val="24"/>
                <w:szCs w:val="24"/>
              </w:rPr>
            </w:pPr>
          </w:p>
        </w:tc>
        <w:tc>
          <w:tcPr>
            <w:tcW w:w="0" w:type="auto"/>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D977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效益指标（20分）</w:t>
            </w:r>
          </w:p>
        </w:tc>
        <w:tc>
          <w:tcPr>
            <w:tcW w:w="0" w:type="auto"/>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398C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社会效益指标（20分）</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D848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地质灾害隐患“三查”覆盖率（10分）</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5F8E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6AA2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064E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w:t>
            </w:r>
          </w:p>
        </w:tc>
      </w:tr>
      <w:tr w14:paraId="598396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A79139">
            <w:pPr>
              <w:rPr>
                <w:rFonts w:hint="eastAsia" w:ascii="宋体"/>
                <w:sz w:val="24"/>
                <w:szCs w:val="24"/>
              </w:rPr>
            </w:pPr>
          </w:p>
        </w:tc>
        <w:tc>
          <w:tcPr>
            <w:tcW w:w="0" w:type="auto"/>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E5148F">
            <w:pPr>
              <w:rPr>
                <w:rFonts w:hint="eastAsia" w:ascii="宋体"/>
                <w:sz w:val="24"/>
                <w:szCs w:val="24"/>
              </w:rPr>
            </w:pPr>
          </w:p>
        </w:tc>
        <w:tc>
          <w:tcPr>
            <w:tcW w:w="0" w:type="auto"/>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E8C730">
            <w:pPr>
              <w:rPr>
                <w:rFonts w:hint="eastAsia" w:ascii="宋体"/>
                <w:sz w:val="24"/>
                <w:szCs w:val="24"/>
              </w:rPr>
            </w:pP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290E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地质灾害隐患管控</w:t>
            </w:r>
          </w:p>
          <w:p w14:paraId="7E6F0D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（10分）</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F127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5A6D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100%</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FD5F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w:t>
            </w:r>
          </w:p>
        </w:tc>
      </w:tr>
      <w:tr w14:paraId="7CE463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57AA4A">
            <w:pPr>
              <w:rPr>
                <w:rFonts w:hint="eastAsia" w:ascii="宋体"/>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ED83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满意度</w:t>
            </w:r>
          </w:p>
          <w:p w14:paraId="156993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指标</w:t>
            </w:r>
          </w:p>
          <w:p w14:paraId="6CDECB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（10分）</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92F4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服务对象满意度指标</w:t>
            </w:r>
          </w:p>
          <w:p w14:paraId="551348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（10分）</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69DC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实施区域受益人群满意度</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1DAE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≥90%</w:t>
            </w:r>
          </w:p>
        </w:tc>
        <w:tc>
          <w:tcPr>
            <w:tcW w:w="0" w:type="auto"/>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3B23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95%</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F157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10</w:t>
            </w:r>
          </w:p>
        </w:tc>
      </w:tr>
      <w:tr w14:paraId="09FFAB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0" w:type="auto"/>
            <w:gridSpan w:val="8"/>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C9B8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合计</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CAFA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 w:hAnsi="仿宋" w:eastAsia="仿宋" w:cs="仿宋"/>
                <w:spacing w:val="0"/>
                <w:sz w:val="24"/>
                <w:szCs w:val="24"/>
              </w:rPr>
              <w:t>99.1</w:t>
            </w:r>
          </w:p>
        </w:tc>
      </w:tr>
    </w:tbl>
    <w:p w14:paraId="6802A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Times New Roman" w:hAnsi="Times New Roman" w:cs="Times New Roman"/>
          <w:sz w:val="31"/>
          <w:szCs w:val="31"/>
        </w:rPr>
        <w:t> </w:t>
      </w:r>
    </w:p>
    <w:p w14:paraId="26F97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ascii="Calibri" w:hAnsi="Calibri" w:cs="Calibri"/>
          <w:sz w:val="24"/>
          <w:szCs w:val="24"/>
        </w:rPr>
        <w:t> </w:t>
      </w:r>
    </w:p>
    <w:p w14:paraId="6928E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Calibri" w:hAnsi="Calibri" w:cs="Calibri"/>
          <w:sz w:val="21"/>
          <w:szCs w:val="21"/>
        </w:rPr>
        <w:t> </w:t>
      </w:r>
    </w:p>
    <w:p w14:paraId="280DA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p>
    <w:p w14:paraId="3E3D5F67">
      <w:pPr>
        <w:pStyle w:val="3"/>
        <w:keepNext w:val="0"/>
        <w:keepLines w:val="0"/>
        <w:widowControl/>
        <w:suppressLineNumbers w:val="0"/>
        <w:spacing w:line="315" w:lineRule="atLeast"/>
      </w:pPr>
    </w:p>
    <w:p w14:paraId="3B5BFED4">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GIyODEwOGMxMjdjMmRiZDJkMDUwYTMzNzllYjEifQ=="/>
  </w:docVars>
  <w:rsids>
    <w:rsidRoot w:val="00000000"/>
    <w:rsid w:val="02112AAF"/>
    <w:rsid w:val="43576D1E"/>
    <w:rsid w:val="46F074CB"/>
    <w:rsid w:val="6982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4925</Words>
  <Characters>5305</Characters>
  <Lines>0</Lines>
  <Paragraphs>0</Paragraphs>
  <TotalTime>0</TotalTime>
  <ScaleCrop>false</ScaleCrop>
  <LinksUpToDate>false</LinksUpToDate>
  <CharactersWithSpaces>5309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2023-09-21T08:14:00Z</dcterms:created>
  <dc:creator>Administrator</dc:creator>
  <cp:lastModifiedBy>Administrator</cp:lastModifiedBy>
  <dcterms:modified xsi:type="dcterms:W3CDTF">2024-12-18T07:23:43Z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6B2FC9FAE8EA4D878730417D01F4F6BB_13</vt:lpwstr>
  </property>
</Properties>
</file>