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firstLine="0" w:firstLineChars="0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20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23</w:t>
      </w:r>
      <w:r>
        <w:rPr>
          <w:rFonts w:hint="eastAsia" w:ascii="新宋体" w:hAnsi="新宋体" w:eastAsia="新宋体"/>
          <w:b/>
          <w:sz w:val="36"/>
          <w:szCs w:val="36"/>
        </w:rPr>
        <w:t>年度咸安区“三公”经费情况的说明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新宋体" w:hAnsi="新宋体" w:eastAsia="新宋体"/>
          <w:b/>
          <w:sz w:val="36"/>
          <w:szCs w:val="36"/>
        </w:rPr>
      </w:pPr>
    </w:p>
    <w:p>
      <w:pPr>
        <w:rPr>
          <w:rFonts w:hint="default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年咸安区“三公”经费支出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预算数2883.53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万元，因公出国（境）费支出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16.18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公务用车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购置及运行维护费支出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1962.73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其中：公务用车运行维护费1266.73万元，公务用车购置费696万元；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公务接待费支出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904.62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。</w:t>
      </w:r>
      <w:r>
        <w:rPr>
          <w:rFonts w:hint="eastAsia" w:cs="仿宋_GB2312"/>
          <w:bCs/>
          <w:color w:val="000000"/>
          <w:kern w:val="36"/>
          <w:sz w:val="32"/>
          <w:szCs w:val="32"/>
        </w:rPr>
        <w:t>20</w:t>
      </w:r>
      <w:r>
        <w:rPr>
          <w:rFonts w:hint="eastAsia" w:cs="仿宋_GB2312"/>
          <w:bCs/>
          <w:color w:val="000000"/>
          <w:kern w:val="36"/>
          <w:sz w:val="32"/>
          <w:szCs w:val="32"/>
          <w:lang w:val="en-US" w:eastAsia="zh-CN"/>
        </w:rPr>
        <w:t>22</w:t>
      </w:r>
      <w:r>
        <w:rPr>
          <w:rFonts w:hint="eastAsia" w:cs="仿宋_GB2312"/>
          <w:bCs/>
          <w:color w:val="000000"/>
          <w:kern w:val="36"/>
          <w:sz w:val="32"/>
          <w:szCs w:val="32"/>
        </w:rPr>
        <w:t>年咸安区 “三公”经费支出</w:t>
      </w:r>
      <w:r>
        <w:rPr>
          <w:rFonts w:hint="eastAsia" w:cs="仿宋_GB2312"/>
          <w:bCs/>
          <w:color w:val="000000"/>
          <w:kern w:val="36"/>
          <w:sz w:val="32"/>
          <w:szCs w:val="32"/>
          <w:lang w:val="en-US" w:eastAsia="zh-CN"/>
        </w:rPr>
        <w:t>预算数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2989.39</w:t>
      </w:r>
      <w:r>
        <w:rPr>
          <w:rFonts w:hint="eastAsia" w:cs="仿宋_GB2312"/>
          <w:bCs/>
          <w:color w:val="000000"/>
          <w:kern w:val="36"/>
          <w:sz w:val="32"/>
          <w:szCs w:val="32"/>
        </w:rPr>
        <w:t>万元，</w:t>
      </w:r>
      <w:r>
        <w:rPr>
          <w:rFonts w:hint="eastAsia" w:cs="仿宋_GB2312"/>
          <w:bCs/>
          <w:color w:val="000000"/>
          <w:kern w:val="36"/>
          <w:sz w:val="32"/>
          <w:szCs w:val="32"/>
          <w:lang w:val="en-US" w:eastAsia="zh-CN"/>
        </w:rPr>
        <w:t>包括</w:t>
      </w:r>
      <w:r>
        <w:rPr>
          <w:rFonts w:hint="eastAsia" w:cs="仿宋_GB2312"/>
          <w:bCs/>
          <w:color w:val="000000"/>
          <w:kern w:val="36"/>
          <w:sz w:val="32"/>
          <w:szCs w:val="32"/>
        </w:rPr>
        <w:t>因公出国（境）费支出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17.4</w:t>
      </w:r>
      <w:r>
        <w:rPr>
          <w:rFonts w:hint="eastAsia" w:cs="仿宋_GB2312"/>
          <w:bCs/>
          <w:color w:val="000000"/>
          <w:kern w:val="36"/>
          <w:sz w:val="32"/>
          <w:szCs w:val="32"/>
        </w:rPr>
        <w:t>万元</w:t>
      </w:r>
      <w:r>
        <w:rPr>
          <w:rFonts w:hint="eastAsia" w:cs="仿宋_GB2312"/>
          <w:bCs/>
          <w:color w:val="000000"/>
          <w:kern w:val="36"/>
          <w:sz w:val="32"/>
          <w:szCs w:val="32"/>
          <w:lang w:eastAsia="zh-CN"/>
        </w:rPr>
        <w:t>；</w:t>
      </w:r>
      <w:r>
        <w:rPr>
          <w:rFonts w:hint="eastAsia" w:cs="仿宋_GB2312"/>
          <w:sz w:val="32"/>
          <w:szCs w:val="32"/>
        </w:rPr>
        <w:t>公务用车购置及运行维护费支出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1999.27</w:t>
      </w:r>
      <w:r>
        <w:rPr>
          <w:rFonts w:hint="eastAsia" w:cs="仿宋_GB2312"/>
          <w:sz w:val="32"/>
          <w:szCs w:val="32"/>
        </w:rPr>
        <w:t>万元，</w:t>
      </w:r>
      <w:r>
        <w:rPr>
          <w:rFonts w:hint="eastAsia" w:cs="仿宋_GB2312"/>
          <w:sz w:val="32"/>
          <w:szCs w:val="32"/>
          <w:lang w:val="en-US" w:eastAsia="zh-CN"/>
        </w:rPr>
        <w:t>其中：公务用车运行维护费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1289.27</w:t>
      </w:r>
      <w:r>
        <w:rPr>
          <w:rFonts w:hint="eastAsia" w:cs="仿宋_GB2312"/>
          <w:sz w:val="32"/>
          <w:szCs w:val="32"/>
          <w:lang w:val="en-US" w:eastAsia="zh-CN"/>
        </w:rPr>
        <w:t>万元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，公</w:t>
      </w:r>
      <w:r>
        <w:rPr>
          <w:rFonts w:hint="eastAsia" w:cs="仿宋_GB2312"/>
          <w:sz w:val="32"/>
          <w:szCs w:val="32"/>
          <w:lang w:val="en-US" w:eastAsia="zh-CN"/>
        </w:rPr>
        <w:t>务用车购置费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710</w:t>
      </w:r>
      <w:r>
        <w:rPr>
          <w:rFonts w:hint="eastAsia" w:cs="仿宋_GB2312"/>
          <w:sz w:val="32"/>
          <w:szCs w:val="32"/>
          <w:lang w:val="en-US" w:eastAsia="zh-CN"/>
        </w:rPr>
        <w:t>万元；</w:t>
      </w:r>
      <w:r>
        <w:rPr>
          <w:rFonts w:hint="eastAsia" w:cs="仿宋_GB2312"/>
          <w:bCs/>
          <w:color w:val="000000"/>
          <w:kern w:val="36"/>
          <w:sz w:val="32"/>
          <w:szCs w:val="32"/>
        </w:rPr>
        <w:t>公务接待费支出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972.72</w:t>
      </w:r>
      <w:r>
        <w:rPr>
          <w:rFonts w:hint="eastAsia" w:cs="仿宋_GB2312"/>
          <w:bCs/>
          <w:color w:val="000000"/>
          <w:kern w:val="36"/>
          <w:sz w:val="32"/>
          <w:szCs w:val="32"/>
        </w:rPr>
        <w:t>万元</w:t>
      </w:r>
      <w:r>
        <w:rPr>
          <w:rFonts w:hint="eastAsia" w:cs="仿宋_GB2312"/>
          <w:bCs/>
          <w:color w:val="000000"/>
          <w:kern w:val="36"/>
          <w:sz w:val="32"/>
          <w:szCs w:val="32"/>
          <w:lang w:eastAsia="zh-CN"/>
        </w:rPr>
        <w:t>。</w:t>
      </w:r>
      <w:r>
        <w:rPr>
          <w:rFonts w:hint="eastAsia" w:cs="仿宋_GB2312"/>
          <w:bCs/>
          <w:color w:val="000000"/>
          <w:kern w:val="36"/>
          <w:sz w:val="32"/>
          <w:szCs w:val="32"/>
          <w:lang w:val="en-US" w:eastAsia="zh-CN"/>
        </w:rPr>
        <w:t>与2022年预算数对比，较上年减少了105.86万元，</w:t>
      </w:r>
      <w:r>
        <w:rPr>
          <w:rFonts w:hint="eastAsia" w:ascii="仿宋" w:hAnsi="仿宋" w:eastAsia="仿宋" w:cs="仿宋"/>
          <w:sz w:val="32"/>
          <w:szCs w:val="32"/>
        </w:rPr>
        <w:t>公务用车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购置及运行维护费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公务接待费均有所下降，</w:t>
      </w:r>
      <w:r>
        <w:rPr>
          <w:rFonts w:hint="eastAsia" w:cs="仿宋_GB2312"/>
          <w:bCs/>
          <w:color w:val="000000"/>
          <w:kern w:val="36"/>
          <w:sz w:val="32"/>
          <w:szCs w:val="32"/>
          <w:lang w:val="en-US" w:eastAsia="zh-CN"/>
        </w:rPr>
        <w:t>主要是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公务接待支出减少68.1万元，原因是落实过紧日子的要求，压减公务接待支出。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年咸安区 “三公”经费支出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1222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占年初预算的42.38%,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较上年减少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下降了3.63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%。其中：因公出国（境）费支出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6万元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。公务用车购置及运行维护费支出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1066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占年初预算的54.31%,较上年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19万元，下降了1.75%。其中：公务用车购置费220万元，占年初预算的31.61%，较上年减少94万元，下降了29.94%；公务用车运行维护费846万元，占年初预算的66.79%，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较上年增加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增长了9.73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%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公务用车购置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的主要原因是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咸安区横沟桥镇人民政府公务用车购置费用减少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19.75万元、咸安区双溪桥镇人民政府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公务用车购置费用减少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17.9万元、咸安区水利和湖泊局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公务用车购置费用减少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17.6万元、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咸安区城市管理执法局公务用车购置费用减少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11.24万元、咸宁市咸安区纪律检查委员会公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务用车购置费用减少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8.11万元；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运行维护费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的主要原因是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咸宁市咸安区市场监督管理局、咸宁市咸安区民政局、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咸安区浮山街道办事处、咸安区住房和城乡建设局、咸安区教育局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等单位该项支出较上年有所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咸安区国土整治局和咸安区不动产登记中心、咸安区人民政府土地收购储备中心为2023年度新增单位汇总数据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也会造成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该项支出较上年有所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公务接待费支出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val="en-US" w:eastAsia="zh-CN"/>
        </w:rPr>
        <w:t>占年初预算的16.58%，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  <w:lang w:eastAsia="zh-CN"/>
        </w:rPr>
        <w:t>较上年</w:t>
      </w:r>
      <w:r>
        <w:rPr>
          <w:rFonts w:hint="eastAsia" w:ascii="仿宋" w:hAnsi="仿宋" w:eastAsia="仿宋" w:cs="仿宋"/>
          <w:bCs/>
          <w:color w:val="000000"/>
          <w:kern w:val="36"/>
          <w:sz w:val="32"/>
          <w:szCs w:val="32"/>
        </w:rPr>
        <w:t>减少</w:t>
      </w:r>
      <w:r>
        <w:rPr>
          <w:rFonts w:hint="eastAsia" w:ascii="仿宋" w:hAnsi="仿宋" w:eastAsia="仿宋" w:cs="仿宋"/>
          <w:bCs/>
          <w:color w:val="auto"/>
          <w:kern w:val="36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bCs/>
          <w:color w:val="auto"/>
          <w:kern w:val="36"/>
          <w:sz w:val="32"/>
          <w:szCs w:val="32"/>
        </w:rPr>
        <w:t>万元，下降</w:t>
      </w:r>
      <w:r>
        <w:rPr>
          <w:rFonts w:hint="eastAsia" w:ascii="仿宋" w:hAnsi="仿宋" w:eastAsia="仿宋" w:cs="仿宋"/>
          <w:bCs/>
          <w:color w:val="auto"/>
          <w:kern w:val="36"/>
          <w:sz w:val="32"/>
          <w:szCs w:val="32"/>
          <w:lang w:val="en-US" w:eastAsia="zh-CN"/>
        </w:rPr>
        <w:t>18.03</w:t>
      </w:r>
      <w:r>
        <w:rPr>
          <w:rFonts w:hint="eastAsia" w:ascii="仿宋" w:hAnsi="仿宋" w:eastAsia="仿宋" w:cs="仿宋"/>
          <w:bCs/>
          <w:color w:val="auto"/>
          <w:kern w:val="36"/>
          <w:sz w:val="32"/>
          <w:szCs w:val="32"/>
        </w:rPr>
        <w:t>%</w:t>
      </w:r>
      <w:r>
        <w:rPr>
          <w:rFonts w:hint="eastAsia" w:ascii="仿宋" w:hAnsi="仿宋" w:eastAsia="仿宋" w:cs="仿宋"/>
          <w:bCs/>
          <w:color w:val="auto"/>
          <w:kern w:val="3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36"/>
          <w:sz w:val="32"/>
          <w:szCs w:val="32"/>
          <w:lang w:val="en-US" w:eastAsia="zh-CN"/>
        </w:rPr>
        <w:t>具体为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咸安区住房和城乡建设局、咸安区商务局、咸安区融媒体中心、咸安区审计局、咸安区人力资源和社会保障局、贺胜桥镇、高桥镇、浮山办事处、教育局及下属二级单位等多家单位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公务接待费用减少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atLeast"/>
        <w:ind w:firstLine="600" w:firstLineChars="0"/>
        <w:rPr>
          <w:rFonts w:hint="eastAsia" w:ascii="仿宋" w:hAnsi="仿宋" w:eastAsia="仿宋" w:cs="仿宋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079B2"/>
    <w:rsid w:val="1FB34E29"/>
    <w:rsid w:val="30F2030D"/>
    <w:rsid w:val="378079B2"/>
    <w:rsid w:val="7BBD45A0"/>
    <w:rsid w:val="7BE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2023-09-14T07:44:00Z</dcterms:created>
  <dc:creator>Lenovo</dc:creator>
  <cp:lastModifiedBy>Administrator</cp:lastModifiedBy>
  <dcterms:modified xsi:type="dcterms:W3CDTF">2024-09-24T08:15:13Z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