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070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Arial Unicode MS" w:cs="Times New Roman"/>
          <w:color w:val="auto"/>
          <w:sz w:val="44"/>
          <w:szCs w:val="44"/>
          <w:lang w:eastAsia="zh-CN"/>
        </w:rPr>
      </w:pPr>
      <w:bookmarkStart w:id="0" w:name="_Toc3964_WPSOffice_Level1"/>
      <w:bookmarkStart w:id="1" w:name="_Toc518460836"/>
      <w:bookmarkStart w:id="2" w:name="_Toc531593560"/>
      <w:bookmarkStart w:id="3" w:name="_Toc3033_WPSOffice_Level1"/>
      <w:bookmarkStart w:id="4" w:name="_Toc10530_WPSOffice_Level1"/>
    </w:p>
    <w:p w14:paraId="461390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Arial Unicode MS" w:cs="Times New Roman"/>
          <w:color w:val="auto"/>
          <w:sz w:val="44"/>
          <w:szCs w:val="44"/>
        </w:rPr>
      </w:pPr>
      <w:r>
        <w:rPr>
          <w:rFonts w:hint="default" w:ascii="Times New Roman" w:hAnsi="Times New Roman" w:eastAsia="Arial Unicode MS" w:cs="Times New Roman"/>
          <w:color w:val="auto"/>
          <w:sz w:val="44"/>
          <w:szCs w:val="44"/>
          <w:lang w:eastAsia="zh-CN"/>
        </w:rPr>
        <w:t>《</w:t>
      </w:r>
      <w:r>
        <w:rPr>
          <w:rFonts w:hint="default" w:ascii="Times New Roman" w:hAnsi="Times New Roman" w:eastAsia="Arial Unicode MS" w:cs="Times New Roman"/>
          <w:color w:val="auto"/>
          <w:sz w:val="44"/>
          <w:szCs w:val="44"/>
        </w:rPr>
        <w:t>咸安区国民经济和社会发展第十四个</w:t>
      </w:r>
    </w:p>
    <w:p w14:paraId="18CDB2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Arial Unicode MS" w:cs="Times New Roman"/>
          <w:color w:val="auto"/>
          <w:sz w:val="44"/>
          <w:szCs w:val="44"/>
        </w:rPr>
      </w:pPr>
      <w:r>
        <w:rPr>
          <w:rFonts w:hint="default" w:ascii="Times New Roman" w:hAnsi="Times New Roman" w:eastAsia="Arial Unicode MS" w:cs="Times New Roman"/>
          <w:color w:val="auto"/>
          <w:sz w:val="44"/>
          <w:szCs w:val="44"/>
        </w:rPr>
        <w:t>五年规划和二〇三五年远景目标纲要</w:t>
      </w:r>
      <w:r>
        <w:rPr>
          <w:rFonts w:hint="default" w:ascii="Times New Roman" w:hAnsi="Times New Roman" w:eastAsia="Arial Unicode MS" w:cs="Times New Roman"/>
          <w:color w:val="auto"/>
          <w:sz w:val="44"/>
          <w:szCs w:val="44"/>
          <w:lang w:eastAsia="zh-CN"/>
        </w:rPr>
        <w:t>》</w:t>
      </w:r>
    </w:p>
    <w:p w14:paraId="411074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Arial Unicode MS" w:cs="Times New Roman"/>
          <w:color w:val="auto"/>
          <w:sz w:val="44"/>
          <w:szCs w:val="44"/>
        </w:rPr>
      </w:pPr>
      <w:r>
        <w:rPr>
          <w:rFonts w:hint="default" w:ascii="Times New Roman" w:hAnsi="Times New Roman" w:eastAsia="Arial Unicode MS" w:cs="Times New Roman"/>
          <w:color w:val="auto"/>
          <w:sz w:val="44"/>
          <w:szCs w:val="44"/>
        </w:rPr>
        <w:t>中期评估报告</w:t>
      </w:r>
    </w:p>
    <w:p w14:paraId="5EC46334">
      <w:pPr>
        <w:pStyle w:val="2"/>
        <w:rPr>
          <w:rFonts w:hint="default" w:ascii="Times New Roman" w:hAnsi="Times New Roman" w:cs="Times New Roman"/>
          <w:color w:val="auto"/>
        </w:rPr>
      </w:pPr>
    </w:p>
    <w:p w14:paraId="6CE5D6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36"/>
          <w:szCs w:val="36"/>
        </w:rPr>
      </w:pPr>
    </w:p>
    <w:p w14:paraId="6FAAA0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color w:val="auto"/>
          <w:sz w:val="36"/>
          <w:szCs w:val="36"/>
        </w:rPr>
      </w:pPr>
    </w:p>
    <w:p w14:paraId="4F319B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sz w:val="44"/>
          <w:szCs w:val="44"/>
        </w:rPr>
      </w:pPr>
    </w:p>
    <w:p w14:paraId="45C71A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51DCDB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681E94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599783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2DFB55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0A9216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2203BF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490AC4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0F989F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7B0329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4E8653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49245E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294A64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4826B4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3F78E7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仿宋_GB2312" w:cs="Times New Roman"/>
          <w:b/>
          <w:color w:val="auto"/>
        </w:rPr>
      </w:pPr>
    </w:p>
    <w:p w14:paraId="038344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楷体" w:cs="Times New Roman"/>
          <w:color w:val="auto"/>
          <w:sz w:val="36"/>
          <w:szCs w:val="36"/>
        </w:rPr>
      </w:pPr>
      <w:r>
        <w:rPr>
          <w:rFonts w:hint="default" w:ascii="Times New Roman" w:hAnsi="Times New Roman" w:eastAsia="楷体" w:cs="Times New Roman"/>
          <w:color w:val="auto"/>
          <w:sz w:val="36"/>
          <w:szCs w:val="36"/>
        </w:rPr>
        <w:t>咸安区发展和改革局</w:t>
      </w:r>
    </w:p>
    <w:p w14:paraId="22B902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楷体_GB2312" w:hAnsi="楷体_GB2312" w:eastAsia="楷体_GB2312" w:cs="楷体_GB2312"/>
          <w:color w:val="auto"/>
          <w:sz w:val="36"/>
          <w:szCs w:val="36"/>
        </w:rPr>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楷体_GB2312" w:hAnsi="楷体_GB2312" w:eastAsia="楷体_GB2312" w:cs="楷体_GB2312"/>
          <w:color w:val="auto"/>
          <w:sz w:val="36"/>
          <w:szCs w:val="36"/>
          <w:lang w:val="en-US" w:eastAsia="zh-CN"/>
        </w:rPr>
        <w:t>2023</w:t>
      </w:r>
      <w:r>
        <w:rPr>
          <w:rFonts w:hint="eastAsia" w:ascii="楷体_GB2312" w:hAnsi="楷体_GB2312" w:eastAsia="楷体_GB2312" w:cs="楷体_GB2312"/>
          <w:color w:val="auto"/>
          <w:sz w:val="36"/>
          <w:szCs w:val="36"/>
        </w:rPr>
        <w:t>年</w:t>
      </w:r>
      <w:r>
        <w:rPr>
          <w:rFonts w:hint="eastAsia" w:ascii="楷体_GB2312" w:hAnsi="楷体_GB2312" w:eastAsia="楷体_GB2312" w:cs="楷体_GB2312"/>
          <w:color w:val="auto"/>
          <w:sz w:val="36"/>
          <w:szCs w:val="36"/>
          <w:lang w:val="en-US" w:eastAsia="zh-CN"/>
        </w:rPr>
        <w:t>11</w:t>
      </w:r>
      <w:r>
        <w:rPr>
          <w:rFonts w:hint="eastAsia" w:ascii="楷体_GB2312" w:hAnsi="楷体_GB2312" w:eastAsia="楷体_GB2312" w:cs="楷体_GB2312"/>
          <w:color w:val="auto"/>
          <w:sz w:val="36"/>
          <w:szCs w:val="36"/>
        </w:rPr>
        <w:t>月</w:t>
      </w:r>
    </w:p>
    <w:p w14:paraId="7452996D">
      <w:pPr>
        <w:pStyle w:val="4"/>
        <w:keepNext/>
        <w:keepLines/>
        <w:pageBreakBefore w:val="0"/>
        <w:widowControl w:val="0"/>
        <w:kinsoku/>
        <w:wordWrap/>
        <w:overflowPunct/>
        <w:topLinePunct w:val="0"/>
        <w:autoSpaceDE/>
        <w:autoSpaceDN/>
        <w:bidi w:val="0"/>
        <w:adjustRightInd w:val="0"/>
        <w:snapToGrid w:val="0"/>
        <w:spacing w:before="0" w:beforeLines="0" w:after="0" w:afterLines="0"/>
        <w:ind w:left="0" w:leftChars="0" w:firstLine="0" w:firstLineChars="0"/>
        <w:jc w:val="center"/>
        <w:textAlignment w:val="auto"/>
        <w:rPr>
          <w:rFonts w:hint="default" w:ascii="Times New Roman" w:hAnsi="Times New Roman" w:eastAsia="黑体" w:cs="Times New Roman"/>
          <w:color w:val="auto"/>
          <w:lang w:val="en-US" w:eastAsia="zh-CN"/>
        </w:rPr>
      </w:pPr>
      <w:bookmarkStart w:id="5" w:name="_Toc4802"/>
      <w:bookmarkStart w:id="6" w:name="_Toc29270"/>
      <w:bookmarkStart w:id="7" w:name="_Toc22114"/>
      <w:bookmarkStart w:id="8" w:name="_Toc11283"/>
      <w:bookmarkStart w:id="9" w:name="_Toc3657"/>
      <w:bookmarkStart w:id="10" w:name="_Toc25758"/>
      <w:bookmarkStart w:id="11" w:name="_Toc26930"/>
      <w:bookmarkStart w:id="12" w:name="_Toc25672"/>
      <w:bookmarkStart w:id="13" w:name="_Toc27893"/>
      <w:bookmarkStart w:id="14" w:name="_Toc24907"/>
      <w:bookmarkStart w:id="15" w:name="_Toc14598"/>
      <w:r>
        <w:rPr>
          <w:rFonts w:hint="default" w:ascii="Times New Roman" w:hAnsi="Times New Roman" w:eastAsia="黑体" w:cs="Times New Roman"/>
          <w:color w:val="auto"/>
          <w:lang w:val="en-US" w:eastAsia="zh-CN"/>
        </w:rPr>
        <w:t>目  录</w:t>
      </w:r>
      <w:bookmarkEnd w:id="5"/>
      <w:bookmarkEnd w:id="6"/>
      <w:bookmarkEnd w:id="7"/>
      <w:bookmarkEnd w:id="8"/>
      <w:bookmarkEnd w:id="9"/>
      <w:bookmarkEnd w:id="10"/>
      <w:bookmarkEnd w:id="11"/>
      <w:bookmarkEnd w:id="12"/>
      <w:bookmarkEnd w:id="13"/>
      <w:bookmarkEnd w:id="14"/>
      <w:bookmarkEnd w:id="15"/>
    </w:p>
    <w:p w14:paraId="3C1DF86F">
      <w:pPr>
        <w:pStyle w:val="13"/>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TOC \o "1-2" \h \u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_Toc4580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黑体" w:cs="Times New Roman"/>
          <w:color w:val="auto"/>
        </w:rPr>
        <w:t>前  言</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_Toc4580 \h </w:instrText>
      </w:r>
      <w:r>
        <w:rPr>
          <w:rFonts w:hint="default" w:ascii="Times New Roman" w:hAnsi="Times New Roman" w:cs="Times New Roman"/>
          <w:color w:val="auto"/>
        </w:rPr>
        <w:fldChar w:fldCharType="separate"/>
      </w:r>
      <w:r>
        <w:rPr>
          <w:rFonts w:hint="default" w:ascii="Times New Roman" w:hAnsi="Times New Roman" w:cs="Times New Roman"/>
          <w:color w:val="auto"/>
        </w:rPr>
        <w:t>1</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2F67B794">
      <w:pPr>
        <w:pStyle w:val="13"/>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_Toc22065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黑体" w:cs="Times New Roman"/>
          <w:color w:val="auto"/>
        </w:rPr>
        <w:t>一、规划</w:t>
      </w:r>
      <w:r>
        <w:rPr>
          <w:rFonts w:hint="default" w:ascii="Times New Roman" w:hAnsi="Times New Roman" w:eastAsia="黑体" w:cs="Times New Roman"/>
          <w:color w:val="auto"/>
          <w:lang w:val="en-US" w:eastAsia="zh-CN"/>
        </w:rPr>
        <w:t>目标任务完成情况</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_Toc22065 \h </w:instrText>
      </w:r>
      <w:r>
        <w:rPr>
          <w:rFonts w:hint="default" w:ascii="Times New Roman" w:hAnsi="Times New Roman" w:cs="Times New Roman"/>
          <w:color w:val="auto"/>
        </w:rPr>
        <w:fldChar w:fldCharType="separate"/>
      </w:r>
      <w:r>
        <w:rPr>
          <w:rFonts w:hint="default" w:ascii="Times New Roman" w:hAnsi="Times New Roman" w:cs="Times New Roman"/>
          <w:color w:val="auto"/>
        </w:rPr>
        <w:t>3</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12F97D59">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_Toc25424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一</w:t>
      </w:r>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规划目标完成</w:t>
      </w:r>
      <w:r>
        <w:rPr>
          <w:rFonts w:hint="default" w:ascii="Times New Roman" w:hAnsi="Times New Roman" w:eastAsia="楷体_GB2312" w:cs="Times New Roman"/>
          <w:color w:val="auto"/>
          <w:lang w:eastAsia="zh-CN"/>
        </w:rPr>
        <w:t>情况</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_Toc25424 \h </w:instrText>
      </w:r>
      <w:r>
        <w:rPr>
          <w:rFonts w:hint="default" w:ascii="Times New Roman" w:hAnsi="Times New Roman" w:cs="Times New Roman"/>
          <w:color w:val="auto"/>
        </w:rPr>
        <w:fldChar w:fldCharType="separate"/>
      </w:r>
      <w:r>
        <w:rPr>
          <w:rFonts w:hint="default" w:ascii="Times New Roman" w:hAnsi="Times New Roman" w:cs="Times New Roman"/>
          <w:color w:val="auto"/>
        </w:rPr>
        <w:t>3</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769CE58E">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_Toc11858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二</w:t>
      </w:r>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规划任务</w:t>
      </w:r>
      <w:r>
        <w:rPr>
          <w:rFonts w:hint="default" w:ascii="Times New Roman" w:hAnsi="Times New Roman" w:eastAsia="楷体_GB2312" w:cs="Times New Roman"/>
          <w:color w:val="auto"/>
          <w:lang w:eastAsia="zh-CN"/>
        </w:rPr>
        <w:t>落实情况</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_Toc11858 \h </w:instrText>
      </w:r>
      <w:r>
        <w:rPr>
          <w:rFonts w:hint="default" w:ascii="Times New Roman" w:hAnsi="Times New Roman" w:cs="Times New Roman"/>
          <w:color w:val="auto"/>
        </w:rPr>
        <w:fldChar w:fldCharType="separate"/>
      </w:r>
      <w:r>
        <w:rPr>
          <w:rFonts w:hint="default" w:ascii="Times New Roman" w:hAnsi="Times New Roman" w:cs="Times New Roman"/>
          <w:color w:val="auto"/>
        </w:rPr>
        <w:t>4</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7312953D">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_Toc13533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三</w:t>
      </w:r>
      <w:r>
        <w:rPr>
          <w:rFonts w:hint="default" w:ascii="Times New Roman" w:hAnsi="Times New Roman" w:eastAsia="楷体_GB2312" w:cs="Times New Roman"/>
          <w:color w:val="auto"/>
          <w:lang w:eastAsia="zh-CN"/>
        </w:rPr>
        <w:t>）重大项目实施情况</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_Toc13533 \h </w:instrText>
      </w:r>
      <w:r>
        <w:rPr>
          <w:rFonts w:hint="default" w:ascii="Times New Roman" w:hAnsi="Times New Roman" w:cs="Times New Roman"/>
          <w:color w:val="auto"/>
        </w:rPr>
        <w:fldChar w:fldCharType="separate"/>
      </w:r>
      <w:r>
        <w:rPr>
          <w:rFonts w:hint="default" w:ascii="Times New Roman" w:hAnsi="Times New Roman" w:cs="Times New Roman"/>
          <w:color w:val="auto"/>
        </w:rPr>
        <w:t>20</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0B60C08F">
      <w:pPr>
        <w:pStyle w:val="13"/>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_Toc28283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黑体" w:cs="Times New Roman"/>
          <w:color w:val="auto"/>
          <w:lang w:val="en-US" w:eastAsia="zh-CN"/>
        </w:rPr>
        <w:t>二</w:t>
      </w:r>
      <w:r>
        <w:rPr>
          <w:rFonts w:hint="default" w:ascii="Times New Roman" w:hAnsi="Times New Roman" w:eastAsia="黑体" w:cs="Times New Roman"/>
          <w:color w:val="auto"/>
        </w:rPr>
        <w:t>、</w:t>
      </w:r>
      <w:r>
        <w:rPr>
          <w:rFonts w:hint="default" w:ascii="Times New Roman" w:hAnsi="Times New Roman" w:eastAsia="黑体" w:cs="Times New Roman"/>
          <w:color w:val="auto"/>
          <w:lang w:val="en-US" w:eastAsia="zh-CN"/>
        </w:rPr>
        <w:t>规划实施</w:t>
      </w:r>
      <w:r>
        <w:rPr>
          <w:rFonts w:hint="default" w:ascii="Times New Roman" w:hAnsi="Times New Roman" w:eastAsia="黑体" w:cs="Times New Roman"/>
          <w:color w:val="auto"/>
        </w:rPr>
        <w:t>存在的问题</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_Toc28283 \h </w:instrText>
      </w:r>
      <w:r>
        <w:rPr>
          <w:rFonts w:hint="default" w:ascii="Times New Roman" w:hAnsi="Times New Roman" w:cs="Times New Roman"/>
          <w:color w:val="auto"/>
        </w:rPr>
        <w:fldChar w:fldCharType="separate"/>
      </w:r>
      <w:r>
        <w:rPr>
          <w:rFonts w:hint="default" w:ascii="Times New Roman" w:hAnsi="Times New Roman" w:cs="Times New Roman"/>
          <w:color w:val="auto"/>
        </w:rPr>
        <w:t>22</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064523F9">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_Toc3601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（一）对标强县工程，县域经济综合实力不强</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_Toc3601 \h </w:instrText>
      </w:r>
      <w:r>
        <w:rPr>
          <w:rFonts w:hint="default" w:ascii="Times New Roman" w:hAnsi="Times New Roman" w:cs="Times New Roman"/>
          <w:color w:val="auto"/>
        </w:rPr>
        <w:fldChar w:fldCharType="separate"/>
      </w:r>
      <w:r>
        <w:rPr>
          <w:rFonts w:hint="default" w:ascii="Times New Roman" w:hAnsi="Times New Roman" w:cs="Times New Roman"/>
          <w:color w:val="auto"/>
        </w:rPr>
        <w:t>22</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41AACD92">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_Toc28010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（二）对标经济高质量发展，实体经济发展质效不高</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_Toc28010 \h </w:instrText>
      </w:r>
      <w:r>
        <w:rPr>
          <w:rFonts w:hint="default" w:ascii="Times New Roman" w:hAnsi="Times New Roman" w:cs="Times New Roman"/>
          <w:color w:val="auto"/>
        </w:rPr>
        <w:fldChar w:fldCharType="separate"/>
      </w:r>
      <w:r>
        <w:rPr>
          <w:rFonts w:hint="default" w:ascii="Times New Roman" w:hAnsi="Times New Roman" w:cs="Times New Roman"/>
          <w:color w:val="auto"/>
        </w:rPr>
        <w:t>26</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732422C3">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_Toc27330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仿宋_GB2312" w:cs="Times New Roman"/>
          <w:color w:val="auto"/>
          <w:lang w:eastAsia="zh-CN"/>
        </w:rPr>
        <w:t>（</w:t>
      </w:r>
      <w:r>
        <w:rPr>
          <w:rFonts w:hint="default" w:ascii="Times New Roman" w:hAnsi="Times New Roman" w:eastAsia="楷体_GB2312" w:cs="Times New Roman"/>
          <w:color w:val="auto"/>
          <w:lang w:val="en-US" w:eastAsia="zh-CN"/>
        </w:rPr>
        <w:t>三</w:t>
      </w:r>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对标流域综合治理，底线管控</w:t>
      </w:r>
      <w:r>
        <w:rPr>
          <w:rFonts w:hint="default" w:ascii="Times New Roman" w:hAnsi="Times New Roman" w:eastAsia="楷体_GB2312" w:cs="Times New Roman"/>
          <w:color w:val="auto"/>
          <w:lang w:eastAsia="zh-CN"/>
        </w:rPr>
        <w:t>存在风险隐患</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_Toc27330 \h </w:instrText>
      </w:r>
      <w:r>
        <w:rPr>
          <w:rFonts w:hint="default" w:ascii="Times New Roman" w:hAnsi="Times New Roman" w:cs="Times New Roman"/>
          <w:color w:val="auto"/>
        </w:rPr>
        <w:fldChar w:fldCharType="separate"/>
      </w:r>
      <w:r>
        <w:rPr>
          <w:rFonts w:hint="default" w:ascii="Times New Roman" w:hAnsi="Times New Roman" w:cs="Times New Roman"/>
          <w:color w:val="auto"/>
        </w:rPr>
        <w:t>28</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31EE3564">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_Toc24450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（四）对标自然生态公园城市，城市品质不优</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_Toc24450 \h </w:instrText>
      </w:r>
      <w:r>
        <w:rPr>
          <w:rFonts w:hint="default" w:ascii="Times New Roman" w:hAnsi="Times New Roman" w:cs="Times New Roman"/>
          <w:color w:val="auto"/>
        </w:rPr>
        <w:fldChar w:fldCharType="separate"/>
      </w:r>
      <w:r>
        <w:rPr>
          <w:rFonts w:hint="default" w:ascii="Times New Roman" w:hAnsi="Times New Roman" w:cs="Times New Roman"/>
          <w:color w:val="auto"/>
        </w:rPr>
        <w:t>29</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61B35790">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_Toc15900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（五）对标长江大保护，生态环保存在弱项</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_Toc15900 \h </w:instrText>
      </w:r>
      <w:r>
        <w:rPr>
          <w:rFonts w:hint="default" w:ascii="Times New Roman" w:hAnsi="Times New Roman" w:cs="Times New Roman"/>
          <w:color w:val="auto"/>
        </w:rPr>
        <w:fldChar w:fldCharType="separate"/>
      </w:r>
      <w:r>
        <w:rPr>
          <w:rFonts w:hint="default" w:ascii="Times New Roman" w:hAnsi="Times New Roman" w:cs="Times New Roman"/>
          <w:color w:val="auto"/>
        </w:rPr>
        <w:t>30</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1F31D829">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_Toc8750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（六）对标华中康养区，大健康尚未形成发展合力</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_Toc8750 \h </w:instrText>
      </w:r>
      <w:r>
        <w:rPr>
          <w:rFonts w:hint="default" w:ascii="Times New Roman" w:hAnsi="Times New Roman" w:cs="Times New Roman"/>
          <w:color w:val="auto"/>
        </w:rPr>
        <w:fldChar w:fldCharType="separate"/>
      </w:r>
      <w:r>
        <w:rPr>
          <w:rFonts w:hint="default" w:ascii="Times New Roman" w:hAnsi="Times New Roman" w:cs="Times New Roman"/>
          <w:color w:val="auto"/>
        </w:rPr>
        <w:t>31</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0978FB3A">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_Toc4873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（七）对标人民幸福，公共服务均等化有短板</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_Toc4873 \h </w:instrText>
      </w:r>
      <w:r>
        <w:rPr>
          <w:rFonts w:hint="default" w:ascii="Times New Roman" w:hAnsi="Times New Roman" w:cs="Times New Roman"/>
          <w:color w:val="auto"/>
        </w:rPr>
        <w:fldChar w:fldCharType="separate"/>
      </w:r>
      <w:r>
        <w:rPr>
          <w:rFonts w:hint="default" w:ascii="Times New Roman" w:hAnsi="Times New Roman" w:cs="Times New Roman"/>
          <w:color w:val="auto"/>
        </w:rPr>
        <w:t>32</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478B504C">
      <w:pPr>
        <w:pStyle w:val="13"/>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_Toc21299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黑体" w:cs="Times New Roman"/>
          <w:color w:val="auto"/>
          <w:lang w:val="en-US" w:eastAsia="zh-CN"/>
        </w:rPr>
        <w:t>三、形势研判与指标可完成情况预测</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_Toc21299 \h </w:instrText>
      </w:r>
      <w:r>
        <w:rPr>
          <w:rFonts w:hint="default" w:ascii="Times New Roman" w:hAnsi="Times New Roman" w:cs="Times New Roman"/>
          <w:color w:val="auto"/>
        </w:rPr>
        <w:fldChar w:fldCharType="separate"/>
      </w:r>
      <w:r>
        <w:rPr>
          <w:rFonts w:hint="default" w:ascii="Times New Roman" w:hAnsi="Times New Roman" w:cs="Times New Roman"/>
          <w:color w:val="auto"/>
        </w:rPr>
        <w:t>34</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2D42D841">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_Toc23733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（一）发展形势研判</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_Toc23733 \h </w:instrText>
      </w:r>
      <w:r>
        <w:rPr>
          <w:rFonts w:hint="default" w:ascii="Times New Roman" w:hAnsi="Times New Roman" w:cs="Times New Roman"/>
          <w:color w:val="auto"/>
        </w:rPr>
        <w:fldChar w:fldCharType="separate"/>
      </w:r>
      <w:r>
        <w:rPr>
          <w:rFonts w:hint="default" w:ascii="Times New Roman" w:hAnsi="Times New Roman" w:cs="Times New Roman"/>
          <w:color w:val="auto"/>
        </w:rPr>
        <w:t>34</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2FC979CE">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_Toc7072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（二）期末指标可完成情况预测</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_Toc7072 \h </w:instrText>
      </w:r>
      <w:r>
        <w:rPr>
          <w:rFonts w:hint="default" w:ascii="Times New Roman" w:hAnsi="Times New Roman" w:cs="Times New Roman"/>
          <w:color w:val="auto"/>
        </w:rPr>
        <w:fldChar w:fldCharType="separate"/>
      </w:r>
      <w:r>
        <w:rPr>
          <w:rFonts w:hint="default" w:ascii="Times New Roman" w:hAnsi="Times New Roman" w:cs="Times New Roman"/>
          <w:color w:val="auto"/>
        </w:rPr>
        <w:t>36</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4E9285DE">
      <w:pPr>
        <w:pStyle w:val="13"/>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_Toc24635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黑体" w:cs="Times New Roman"/>
          <w:color w:val="auto"/>
          <w:lang w:val="en-US" w:eastAsia="zh-CN"/>
        </w:rPr>
        <w:t>四、“十四五”后期实施建议</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_Toc24635 \h </w:instrText>
      </w:r>
      <w:r>
        <w:rPr>
          <w:rFonts w:hint="default" w:ascii="Times New Roman" w:hAnsi="Times New Roman" w:cs="Times New Roman"/>
          <w:color w:val="auto"/>
        </w:rPr>
        <w:fldChar w:fldCharType="separate"/>
      </w:r>
      <w:r>
        <w:rPr>
          <w:rFonts w:hint="default" w:ascii="Times New Roman" w:hAnsi="Times New Roman" w:cs="Times New Roman"/>
          <w:color w:val="auto"/>
        </w:rPr>
        <w:t>37</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656A182A">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_Toc4934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（一）促消费扩投资，做强县域经济</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_Toc4934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38</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3FC8A5FA">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_Toc10437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（二）</w:t>
      </w:r>
      <w:r>
        <w:rPr>
          <w:rFonts w:hint="default" w:ascii="Times New Roman" w:hAnsi="Times New Roman" w:eastAsia="楷体_GB2312" w:cs="Times New Roman"/>
          <w:color w:val="auto"/>
          <w:w w:val="95"/>
          <w:sz w:val="32"/>
          <w:lang w:val="en-US" w:eastAsia="zh-CN"/>
        </w:rPr>
        <w:t>推进流域综合治理，提升自然生态公园城市品质</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_Toc10437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43</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3082FE2F">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_Toc2262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（三）推进新型工业化，筑牢高质量发展底盘</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_Toc2262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48</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77644B5C">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_Toc16805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（四）推进就地城镇化，打造“文明城市”首善之区</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_Toc16805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53</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256FFE3F">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_Toc3629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（五）推进农业现代化，打造“城乡统筹”首善之区</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_Toc3629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54</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586D49DA">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_Toc17150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（六）夯实经济安全根基，提升支撑能力</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_Toc17150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58</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572DE947">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_Toc5457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（七）深化改革开放，打造“营商环境”首善之区</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_Toc5457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61</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30422E48">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_Toc22263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（八）持续增进民生福祉，打造“人民幸福”首善之区</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_Toc22263 \h </w:instrText>
      </w:r>
      <w:r>
        <w:rPr>
          <w:rFonts w:hint="default" w:ascii="Times New Roman" w:hAnsi="Times New Roman" w:cs="Times New Roman"/>
          <w:color w:val="auto"/>
        </w:rPr>
        <w:fldChar w:fldCharType="separate"/>
      </w:r>
      <w:r>
        <w:rPr>
          <w:rFonts w:hint="default" w:ascii="Times New Roman" w:hAnsi="Times New Roman" w:cs="Times New Roman"/>
          <w:color w:val="auto"/>
        </w:rPr>
        <w:t>63</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3C5BA592">
      <w:pPr>
        <w:pStyle w:val="13"/>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黑体" w:cs="Times New Roman"/>
          <w:color w:val="auto"/>
          <w:lang w:val="en-US" w:eastAsia="zh-CN"/>
        </w:rPr>
        <w:fldChar w:fldCharType="begin"/>
      </w:r>
      <w:r>
        <w:rPr>
          <w:rFonts w:hint="default" w:ascii="Times New Roman" w:hAnsi="Times New Roman" w:eastAsia="黑体" w:cs="Times New Roman"/>
          <w:color w:val="auto"/>
          <w:lang w:val="en-US" w:eastAsia="zh-CN"/>
        </w:rPr>
        <w:instrText xml:space="preserve"> HYPERLINK \l _Toc1882 </w:instrText>
      </w:r>
      <w:r>
        <w:rPr>
          <w:rFonts w:hint="default" w:ascii="Times New Roman" w:hAnsi="Times New Roman" w:eastAsia="黑体" w:cs="Times New Roman"/>
          <w:color w:val="auto"/>
          <w:lang w:val="en-US" w:eastAsia="zh-CN"/>
        </w:rPr>
        <w:fldChar w:fldCharType="separate"/>
      </w:r>
      <w:r>
        <w:rPr>
          <w:rFonts w:hint="default" w:ascii="Times New Roman" w:hAnsi="Times New Roman" w:eastAsia="黑体" w:cs="Times New Roman"/>
          <w:color w:val="auto"/>
          <w:lang w:val="en-US" w:eastAsia="zh-CN"/>
        </w:rPr>
        <w:t>附件1：</w:t>
      </w:r>
      <w:r>
        <w:rPr>
          <w:rFonts w:hint="default" w:ascii="Times New Roman" w:hAnsi="Times New Roman" w:eastAsia="黑体" w:cs="Times New Roman"/>
          <w:color w:val="auto"/>
          <w:lang w:val="en-US" w:eastAsia="zh-CN"/>
        </w:rPr>
        <w:fldChar w:fldCharType="end"/>
      </w:r>
      <w:r>
        <w:rPr>
          <w:rFonts w:hint="default" w:ascii="Times New Roman" w:hAnsi="Times New Roman" w:eastAsia="黑体" w:cs="Times New Roman"/>
          <w:color w:val="auto"/>
          <w:lang w:val="en-US" w:eastAsia="zh-CN"/>
        </w:rPr>
        <w:fldChar w:fldCharType="begin"/>
      </w:r>
      <w:r>
        <w:rPr>
          <w:rFonts w:hint="default" w:ascii="Times New Roman" w:hAnsi="Times New Roman" w:eastAsia="黑体" w:cs="Times New Roman"/>
          <w:color w:val="auto"/>
          <w:lang w:val="en-US" w:eastAsia="zh-CN"/>
        </w:rPr>
        <w:instrText xml:space="preserve"> HYPERLINK \l _Toc30879 </w:instrText>
      </w:r>
      <w:r>
        <w:rPr>
          <w:rFonts w:hint="default" w:ascii="Times New Roman" w:hAnsi="Times New Roman" w:eastAsia="黑体" w:cs="Times New Roman"/>
          <w:color w:val="auto"/>
          <w:lang w:val="en-US" w:eastAsia="zh-CN"/>
        </w:rPr>
        <w:fldChar w:fldCharType="separate"/>
      </w:r>
      <w:r>
        <w:rPr>
          <w:rFonts w:hint="default" w:ascii="Times New Roman" w:hAnsi="Times New Roman" w:eastAsia="黑体" w:cs="Times New Roman"/>
          <w:color w:val="auto"/>
          <w:lang w:val="en-US" w:eastAsia="zh-CN"/>
        </w:rPr>
        <w:t>《规划》指标中期完成情况</w:t>
      </w:r>
      <w:r>
        <w:rPr>
          <w:rFonts w:hint="default" w:ascii="Times New Roman" w:hAnsi="Times New Roman" w:eastAsia="黑体" w:cs="Times New Roman"/>
          <w:color w:val="auto"/>
          <w:lang w:val="en-US" w:eastAsia="zh-CN"/>
        </w:rPr>
        <w:tab/>
      </w:r>
      <w:r>
        <w:rPr>
          <w:rFonts w:hint="default" w:ascii="Times New Roman" w:hAnsi="Times New Roman" w:eastAsia="黑体" w:cs="Times New Roman"/>
          <w:color w:val="auto"/>
          <w:lang w:val="en-US" w:eastAsia="zh-CN"/>
        </w:rPr>
        <w:fldChar w:fldCharType="begin"/>
      </w:r>
      <w:r>
        <w:rPr>
          <w:rFonts w:hint="default" w:ascii="Times New Roman" w:hAnsi="Times New Roman" w:eastAsia="黑体" w:cs="Times New Roman"/>
          <w:color w:val="auto"/>
          <w:lang w:val="en-US" w:eastAsia="zh-CN"/>
        </w:rPr>
        <w:instrText xml:space="preserve"> PAGEREF _Toc30879 \h </w:instrText>
      </w:r>
      <w:r>
        <w:rPr>
          <w:rFonts w:hint="default" w:ascii="Times New Roman" w:hAnsi="Times New Roman" w:eastAsia="黑体" w:cs="Times New Roman"/>
          <w:color w:val="auto"/>
          <w:lang w:val="en-US" w:eastAsia="zh-CN"/>
        </w:rPr>
        <w:fldChar w:fldCharType="separate"/>
      </w:r>
      <w:r>
        <w:rPr>
          <w:rFonts w:hint="default" w:ascii="Times New Roman" w:hAnsi="Times New Roman" w:eastAsia="黑体" w:cs="Times New Roman"/>
          <w:color w:val="auto"/>
          <w:lang w:val="en-US" w:eastAsia="zh-CN"/>
        </w:rPr>
        <w:t>69</w:t>
      </w:r>
      <w:r>
        <w:rPr>
          <w:rFonts w:hint="default" w:ascii="Times New Roman" w:hAnsi="Times New Roman" w:eastAsia="黑体" w:cs="Times New Roman"/>
          <w:color w:val="auto"/>
          <w:lang w:val="en-US" w:eastAsia="zh-CN"/>
        </w:rPr>
        <w:fldChar w:fldCharType="end"/>
      </w:r>
      <w:r>
        <w:rPr>
          <w:rFonts w:hint="default" w:ascii="Times New Roman" w:hAnsi="Times New Roman" w:eastAsia="黑体" w:cs="Times New Roman"/>
          <w:color w:val="auto"/>
          <w:lang w:val="en-US" w:eastAsia="zh-CN"/>
        </w:rPr>
        <w:fldChar w:fldCharType="end"/>
      </w:r>
    </w:p>
    <w:p w14:paraId="24BEDABF">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_Toc13876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1. 经济发展目标稳中有进</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_Toc13876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69</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02F34970">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_Toc16183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2. 创新能力目标平稳推进</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_Toc16183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70</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7E3D5CAF">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_Toc15641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3. 民生就业目标总体超前</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_Toc15641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71</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2F0ACDD4">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_Toc7714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4. 生态环境目标基本达标</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_Toc7714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72</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125F5D8E">
      <w:pPr>
        <w:pStyle w:val="15"/>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eastAsia="楷体_GB2312" w:cs="Times New Roman"/>
          <w:color w:val="auto"/>
          <w:lang w:val="en-US" w:eastAsia="zh-CN"/>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_Toc15017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5. 安全生产目标顺利完成</w:t>
      </w:r>
      <w:r>
        <w:rPr>
          <w:rFonts w:hint="default" w:ascii="Times New Roman" w:hAnsi="Times New Roman" w:eastAsia="楷体_GB2312" w:cs="Times New Roman"/>
          <w:color w:val="auto"/>
          <w:lang w:val="en-US" w:eastAsia="zh-CN"/>
        </w:rPr>
        <w:tab/>
      </w: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PAGEREF _Toc15017 \h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楷体_GB2312" w:cs="Times New Roman"/>
          <w:color w:val="auto"/>
          <w:lang w:val="en-US" w:eastAsia="zh-CN"/>
        </w:rPr>
        <w:t>74</w:t>
      </w:r>
      <w:r>
        <w:rPr>
          <w:rFonts w:hint="default" w:ascii="Times New Roman" w:hAnsi="Times New Roman" w:eastAsia="楷体_GB2312" w:cs="Times New Roman"/>
          <w:color w:val="auto"/>
          <w:lang w:val="en-US" w:eastAsia="zh-CN"/>
        </w:rPr>
        <w:fldChar w:fldCharType="end"/>
      </w:r>
      <w:r>
        <w:rPr>
          <w:rFonts w:hint="default" w:ascii="Times New Roman" w:hAnsi="Times New Roman" w:eastAsia="楷体_GB2312" w:cs="Times New Roman"/>
          <w:color w:val="auto"/>
          <w:lang w:val="en-US" w:eastAsia="zh-CN"/>
        </w:rPr>
        <w:fldChar w:fldCharType="end"/>
      </w:r>
    </w:p>
    <w:p w14:paraId="16284571">
      <w:pPr>
        <w:pStyle w:val="13"/>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_Toc30500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黑体" w:cs="Times New Roman"/>
          <w:color w:val="auto"/>
          <w:szCs w:val="36"/>
          <w:lang w:val="en-US" w:eastAsia="zh-CN"/>
        </w:rPr>
        <w:t>附件2：《规划》指标中期完成情况及2025年预期值一览表</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_Toc30500 \h </w:instrText>
      </w:r>
      <w:r>
        <w:rPr>
          <w:rFonts w:hint="default" w:ascii="Times New Roman" w:hAnsi="Times New Roman" w:cs="Times New Roman"/>
          <w:color w:val="auto"/>
        </w:rPr>
        <w:fldChar w:fldCharType="separate"/>
      </w:r>
      <w:r>
        <w:rPr>
          <w:rFonts w:hint="default" w:ascii="Times New Roman" w:hAnsi="Times New Roman" w:cs="Times New Roman"/>
          <w:color w:val="auto"/>
        </w:rPr>
        <w:t>75</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7C5AC07D">
      <w:pPr>
        <w:pStyle w:val="13"/>
        <w:keepNext w:val="0"/>
        <w:keepLines w:val="0"/>
        <w:pageBreakBefore w:val="0"/>
        <w:widowControl w:val="0"/>
        <w:tabs>
          <w:tab w:val="right" w:leader="dot" w:pos="8306"/>
        </w:tabs>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rPr>
      </w:pPr>
      <w:r>
        <w:rPr>
          <w:rFonts w:hint="default" w:ascii="Times New Roman" w:hAnsi="Times New Roman" w:eastAsia="楷体_GB2312" w:cs="Times New Roman"/>
          <w:color w:val="auto"/>
          <w:lang w:val="en-US" w:eastAsia="zh-CN"/>
        </w:rPr>
        <w:fldChar w:fldCharType="begin"/>
      </w:r>
      <w:r>
        <w:rPr>
          <w:rFonts w:hint="default" w:ascii="Times New Roman" w:hAnsi="Times New Roman" w:eastAsia="楷体_GB2312" w:cs="Times New Roman"/>
          <w:color w:val="auto"/>
          <w:lang w:val="en-US" w:eastAsia="zh-CN"/>
        </w:rPr>
        <w:instrText xml:space="preserve"> HYPERLINK \l _Toc22701 </w:instrText>
      </w:r>
      <w:r>
        <w:rPr>
          <w:rFonts w:hint="default" w:ascii="Times New Roman" w:hAnsi="Times New Roman" w:eastAsia="楷体_GB2312" w:cs="Times New Roman"/>
          <w:color w:val="auto"/>
          <w:lang w:val="en-US" w:eastAsia="zh-CN"/>
        </w:rPr>
        <w:fldChar w:fldCharType="separate"/>
      </w:r>
      <w:r>
        <w:rPr>
          <w:rFonts w:hint="default" w:ascii="Times New Roman" w:hAnsi="Times New Roman" w:eastAsia="黑体" w:cs="Times New Roman"/>
          <w:color w:val="auto"/>
          <w:szCs w:val="36"/>
          <w:lang w:val="en-US" w:eastAsia="zh-CN"/>
        </w:rPr>
        <w:t>附件3：咸安区“十四五”中后期重大项目库</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_Toc22701 \h </w:instrText>
      </w:r>
      <w:r>
        <w:rPr>
          <w:rFonts w:hint="default" w:ascii="Times New Roman" w:hAnsi="Times New Roman" w:cs="Times New Roman"/>
          <w:color w:val="auto"/>
        </w:rPr>
        <w:fldChar w:fldCharType="separate"/>
      </w:r>
      <w:r>
        <w:rPr>
          <w:rFonts w:hint="default" w:ascii="Times New Roman" w:hAnsi="Times New Roman" w:cs="Times New Roman"/>
          <w:color w:val="auto"/>
        </w:rPr>
        <w:t>76</w:t>
      </w:r>
      <w:r>
        <w:rPr>
          <w:rFonts w:hint="default" w:ascii="Times New Roman" w:hAnsi="Times New Roman" w:cs="Times New Roman"/>
          <w:color w:val="auto"/>
        </w:rPr>
        <w:fldChar w:fldCharType="end"/>
      </w:r>
      <w:r>
        <w:rPr>
          <w:rFonts w:hint="default" w:ascii="Times New Roman" w:hAnsi="Times New Roman" w:eastAsia="楷体_GB2312" w:cs="Times New Roman"/>
          <w:color w:val="auto"/>
          <w:lang w:val="en-US" w:eastAsia="zh-CN"/>
        </w:rPr>
        <w:fldChar w:fldCharType="end"/>
      </w:r>
    </w:p>
    <w:p w14:paraId="2A537EA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eastAsia="仿宋_GB2312" w:cs="Times New Roman"/>
          <w:color w:val="auto"/>
          <w:lang w:val="en-US" w:eastAsia="zh-CN"/>
        </w:rPr>
      </w:pPr>
      <w:r>
        <w:rPr>
          <w:rFonts w:hint="default" w:ascii="Times New Roman" w:hAnsi="Times New Roman" w:eastAsia="楷体_GB2312" w:cs="Times New Roman"/>
          <w:color w:val="auto"/>
          <w:lang w:val="en-US" w:eastAsia="zh-CN"/>
        </w:rPr>
        <w:fldChar w:fldCharType="end"/>
      </w:r>
    </w:p>
    <w:p w14:paraId="3E8D2FD4">
      <w:pPr>
        <w:pStyle w:val="2"/>
        <w:keepNext w:val="0"/>
        <w:keepLines w:val="0"/>
        <w:pageBreakBefore w:val="0"/>
        <w:widowControl w:val="0"/>
        <w:kinsoku/>
        <w:wordWrap/>
        <w:overflowPunct/>
        <w:topLinePunct w:val="0"/>
        <w:autoSpaceDE/>
        <w:autoSpaceDN/>
        <w:bidi w:val="0"/>
        <w:adjustRightInd w:val="0"/>
        <w:snapToGrid w:val="0"/>
        <w:spacing w:after="0"/>
        <w:ind w:left="0" w:leftChars="0" w:firstLine="640" w:firstLineChars="200"/>
        <w:textAlignment w:val="auto"/>
        <w:rPr>
          <w:rFonts w:hint="default" w:ascii="Times New Roman" w:hAnsi="Times New Roman" w:eastAsia="仿宋_GB2312" w:cs="Times New Roman"/>
          <w:color w:val="auto"/>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2E05E7A6">
      <w:pPr>
        <w:pStyle w:val="4"/>
        <w:bidi w:val="0"/>
        <w:ind w:left="0" w:leftChars="0" w:firstLine="0" w:firstLineChars="0"/>
        <w:jc w:val="center"/>
        <w:rPr>
          <w:rFonts w:hint="default" w:ascii="Times New Roman" w:hAnsi="Times New Roman" w:eastAsia="黑体" w:cs="Times New Roman"/>
          <w:color w:val="auto"/>
        </w:rPr>
      </w:pPr>
      <w:bookmarkStart w:id="16" w:name="_Toc7058"/>
      <w:bookmarkStart w:id="17" w:name="_Toc5766"/>
      <w:bookmarkStart w:id="18" w:name="_Toc4580"/>
      <w:r>
        <w:rPr>
          <w:rFonts w:hint="default" w:ascii="Times New Roman" w:hAnsi="Times New Roman" w:eastAsia="黑体" w:cs="Times New Roman"/>
          <w:color w:val="auto"/>
        </w:rPr>
        <w:t>前  言</w:t>
      </w:r>
      <w:bookmarkEnd w:id="0"/>
      <w:bookmarkEnd w:id="1"/>
      <w:bookmarkEnd w:id="2"/>
      <w:bookmarkEnd w:id="3"/>
      <w:bookmarkEnd w:id="4"/>
      <w:bookmarkEnd w:id="16"/>
      <w:bookmarkEnd w:id="17"/>
      <w:bookmarkEnd w:id="18"/>
    </w:p>
    <w:p w14:paraId="72023FF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“十四五”时期是</w:t>
      </w:r>
      <w:r>
        <w:rPr>
          <w:rFonts w:hint="eastAsia" w:ascii="仿宋_GB2312" w:hAnsi="仿宋_GB2312" w:eastAsia="仿宋_GB2312" w:cs="仿宋_GB2312"/>
          <w:color w:val="auto"/>
          <w:lang w:val="en-US" w:eastAsia="zh-CN"/>
        </w:rPr>
        <w:t>咸安区</w:t>
      </w:r>
      <w:r>
        <w:rPr>
          <w:rFonts w:hint="eastAsia" w:ascii="仿宋_GB2312" w:hAnsi="仿宋_GB2312" w:eastAsia="仿宋_GB2312" w:cs="仿宋_GB2312"/>
          <w:color w:val="auto"/>
        </w:rPr>
        <w:t>全面建成小康社会之后，乘势而上开启全面建设社会主义现代化国家新征程的第一个五年，是谱写新时代高质量发展新篇章的关键五年</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2021年1月咸安区</w:t>
      </w:r>
      <w:r>
        <w:rPr>
          <w:rFonts w:hint="eastAsia" w:ascii="仿宋_GB2312" w:hAnsi="仿宋_GB2312" w:eastAsia="仿宋_GB2312" w:cs="仿宋_GB2312"/>
          <w:color w:val="auto"/>
          <w:lang w:val="en-US" w:eastAsia="zh-CN"/>
        </w:rPr>
        <w:t>第</w:t>
      </w:r>
      <w:r>
        <w:rPr>
          <w:rFonts w:hint="eastAsia" w:ascii="仿宋_GB2312" w:hAnsi="仿宋_GB2312" w:eastAsia="仿宋_GB2312" w:cs="仿宋_GB2312"/>
          <w:color w:val="auto"/>
        </w:rPr>
        <w:t>五届</w:t>
      </w:r>
      <w:r>
        <w:rPr>
          <w:rFonts w:hint="eastAsia" w:ascii="仿宋_GB2312" w:hAnsi="仿宋_GB2312" w:eastAsia="仿宋_GB2312" w:cs="仿宋_GB2312"/>
          <w:color w:val="auto"/>
          <w:lang w:val="en-US" w:eastAsia="zh-CN"/>
        </w:rPr>
        <w:t>人民代表大会第</w:t>
      </w:r>
      <w:r>
        <w:rPr>
          <w:rFonts w:hint="eastAsia" w:ascii="仿宋_GB2312" w:hAnsi="仿宋_GB2312" w:eastAsia="仿宋_GB2312" w:cs="仿宋_GB2312"/>
          <w:color w:val="auto"/>
        </w:rPr>
        <w:t>五次会议审议</w:t>
      </w:r>
      <w:r>
        <w:rPr>
          <w:rFonts w:hint="eastAsia" w:ascii="仿宋_GB2312" w:hAnsi="仿宋_GB2312" w:eastAsia="仿宋_GB2312" w:cs="仿宋_GB2312"/>
          <w:color w:val="auto"/>
          <w:lang w:val="en-US" w:eastAsia="zh-CN"/>
        </w:rPr>
        <w:t>通过</w:t>
      </w:r>
      <w:r>
        <w:rPr>
          <w:rFonts w:hint="eastAsia" w:ascii="仿宋_GB2312" w:hAnsi="仿宋_GB2312" w:eastAsia="仿宋_GB2312" w:cs="仿宋_GB2312"/>
          <w:color w:val="auto"/>
          <w:lang w:eastAsia="zh-CN"/>
        </w:rPr>
        <w:t>的</w:t>
      </w:r>
      <w:r>
        <w:rPr>
          <w:rFonts w:hint="eastAsia" w:ascii="仿宋_GB2312" w:hAnsi="仿宋_GB2312" w:eastAsia="仿宋_GB2312" w:cs="仿宋_GB2312"/>
          <w:color w:val="auto"/>
        </w:rPr>
        <w:t>《咸安区国民经济和社会发展第十四个五年规划和二〇三五年远景目标纲要》（以下简称《</w:t>
      </w:r>
      <w:r>
        <w:rPr>
          <w:rFonts w:hint="eastAsia" w:ascii="仿宋_GB2312" w:hAnsi="仿宋_GB2312" w:eastAsia="仿宋_GB2312" w:cs="仿宋_GB2312"/>
          <w:color w:val="auto"/>
          <w:lang w:val="en-US" w:eastAsia="zh-CN"/>
        </w:rPr>
        <w:t>规划</w:t>
      </w:r>
      <w:r>
        <w:rPr>
          <w:rFonts w:hint="eastAsia" w:ascii="仿宋_GB2312" w:hAnsi="仿宋_GB2312" w:eastAsia="仿宋_GB2312" w:cs="仿宋_GB2312"/>
          <w:color w:val="auto"/>
        </w:rPr>
        <w:t>》）</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是</w:t>
      </w:r>
      <w:r>
        <w:rPr>
          <w:rFonts w:hint="eastAsia" w:ascii="仿宋_GB2312" w:hAnsi="仿宋_GB2312" w:eastAsia="仿宋_GB2312" w:cs="仿宋_GB2312"/>
          <w:color w:val="auto"/>
          <w:lang w:eastAsia="zh-CN"/>
        </w:rPr>
        <w:t>咸安区</w:t>
      </w:r>
      <w:r>
        <w:rPr>
          <w:rFonts w:hint="eastAsia" w:ascii="仿宋_GB2312" w:hAnsi="仿宋_GB2312" w:eastAsia="仿宋_GB2312" w:cs="仿宋_GB2312"/>
          <w:color w:val="auto"/>
        </w:rPr>
        <w:t>“十</w:t>
      </w:r>
      <w:r>
        <w:rPr>
          <w:rFonts w:hint="eastAsia" w:ascii="仿宋_GB2312" w:hAnsi="仿宋_GB2312" w:eastAsia="仿宋_GB2312" w:cs="仿宋_GB2312"/>
          <w:color w:val="auto"/>
          <w:lang w:val="en-US" w:eastAsia="zh-CN"/>
        </w:rPr>
        <w:t>四</w:t>
      </w:r>
      <w:r>
        <w:rPr>
          <w:rFonts w:hint="eastAsia" w:ascii="仿宋_GB2312" w:hAnsi="仿宋_GB2312" w:eastAsia="仿宋_GB2312" w:cs="仿宋_GB2312"/>
          <w:color w:val="auto"/>
        </w:rPr>
        <w:t>五”时期经济社会发展的战略性、纲领性和综合性规划。</w:t>
      </w:r>
    </w:p>
    <w:p w14:paraId="4974824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规划</w:t>
      </w:r>
      <w:r>
        <w:rPr>
          <w:rFonts w:hint="eastAsia" w:ascii="仿宋_GB2312" w:hAnsi="仿宋_GB2312" w:eastAsia="仿宋_GB2312" w:cs="仿宋_GB2312"/>
          <w:color w:val="auto"/>
        </w:rPr>
        <w:t>》的顺利实施，对</w:t>
      </w:r>
      <w:r>
        <w:rPr>
          <w:rFonts w:hint="eastAsia" w:ascii="仿宋_GB2312" w:hAnsi="仿宋_GB2312" w:eastAsia="仿宋_GB2312" w:cs="仿宋_GB2312"/>
          <w:color w:val="auto"/>
          <w:lang w:val="en-US" w:eastAsia="zh-CN"/>
        </w:rPr>
        <w:t>落实区委关于咸安区“中国桂花城、华中康养区”两大定位，实施“党建引领、绿色发展、市区一体”三大路径，打造“文明城市、城乡统筹、营商环境、人民幸福”四个首善之区，助力咸宁市打造武汉都市圈自然生态公园城市</w:t>
      </w:r>
      <w:r>
        <w:rPr>
          <w:rFonts w:hint="eastAsia" w:ascii="仿宋_GB2312" w:hAnsi="仿宋_GB2312" w:eastAsia="仿宋_GB2312" w:cs="仿宋_GB2312"/>
          <w:color w:val="auto"/>
        </w:rPr>
        <w:t>具有重大意义。</w:t>
      </w:r>
    </w:p>
    <w:p w14:paraId="1682CB6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按照《国家发展改革委关于开展“十四五”规划实施中期评估工作的通知》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发改规划〔2023〕153号</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和省市发改委</w:t>
      </w:r>
      <w:r>
        <w:rPr>
          <w:rFonts w:hint="eastAsia" w:ascii="仿宋_GB2312" w:hAnsi="仿宋_GB2312" w:eastAsia="仿宋_GB2312" w:cs="仿宋_GB2312"/>
          <w:color w:val="auto"/>
          <w:lang w:val="en-US" w:eastAsia="zh-CN"/>
        </w:rPr>
        <w:t>关于</w:t>
      </w:r>
      <w:r>
        <w:rPr>
          <w:rFonts w:hint="eastAsia" w:ascii="仿宋_GB2312" w:hAnsi="仿宋_GB2312" w:eastAsia="仿宋_GB2312" w:cs="仿宋_GB2312"/>
          <w:color w:val="auto"/>
        </w:rPr>
        <w:t>开展“十四五”规划中期评估</w:t>
      </w:r>
      <w:r>
        <w:rPr>
          <w:rFonts w:hint="eastAsia" w:ascii="仿宋_GB2312" w:hAnsi="仿宋_GB2312" w:eastAsia="仿宋_GB2312" w:cs="仿宋_GB2312"/>
          <w:color w:val="auto"/>
          <w:lang w:eastAsia="zh-CN"/>
        </w:rPr>
        <w:t>的</w:t>
      </w:r>
      <w:r>
        <w:rPr>
          <w:rFonts w:hint="eastAsia" w:ascii="仿宋_GB2312" w:hAnsi="仿宋_GB2312" w:eastAsia="仿宋_GB2312" w:cs="仿宋_GB2312"/>
          <w:color w:val="auto"/>
        </w:rPr>
        <w:t>工作要求，为全面、客观评价《</w:t>
      </w:r>
      <w:r>
        <w:rPr>
          <w:rFonts w:hint="eastAsia" w:ascii="仿宋_GB2312" w:hAnsi="仿宋_GB2312" w:eastAsia="仿宋_GB2312" w:cs="仿宋_GB2312"/>
          <w:color w:val="auto"/>
          <w:lang w:val="en-US" w:eastAsia="zh-CN"/>
        </w:rPr>
        <w:t>规划</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实施</w:t>
      </w:r>
      <w:r>
        <w:rPr>
          <w:rFonts w:hint="eastAsia" w:ascii="仿宋_GB2312" w:hAnsi="仿宋_GB2312" w:eastAsia="仿宋_GB2312" w:cs="仿宋_GB2312"/>
          <w:color w:val="auto"/>
        </w:rPr>
        <w:t>以来的总体情况，更好地总结经验、推进规划实施，按照区委区人大的部署，区发展和改革局组织相关部门开展了《</w:t>
      </w:r>
      <w:r>
        <w:rPr>
          <w:rFonts w:hint="eastAsia" w:ascii="仿宋_GB2312" w:hAnsi="仿宋_GB2312" w:eastAsia="仿宋_GB2312" w:cs="仿宋_GB2312"/>
          <w:color w:val="auto"/>
          <w:lang w:val="en-US" w:eastAsia="zh-CN"/>
        </w:rPr>
        <w:t>规划</w:t>
      </w:r>
      <w:r>
        <w:rPr>
          <w:rFonts w:hint="eastAsia" w:ascii="仿宋_GB2312" w:hAnsi="仿宋_GB2312" w:eastAsia="仿宋_GB2312" w:cs="仿宋_GB2312"/>
          <w:color w:val="auto"/>
        </w:rPr>
        <w:t>》中期评估工作。</w:t>
      </w:r>
    </w:p>
    <w:p w14:paraId="4229C2B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本次中期评估，坚持客观公正、实事求是的原则，运用定性定量相结合的方法，主要内容包括以下</w:t>
      </w:r>
      <w:r>
        <w:rPr>
          <w:rFonts w:hint="eastAsia" w:ascii="仿宋_GB2312" w:hAnsi="仿宋_GB2312" w:eastAsia="仿宋_GB2312" w:cs="仿宋_GB2312"/>
          <w:color w:val="auto"/>
          <w:lang w:val="en-US" w:eastAsia="zh-CN"/>
        </w:rPr>
        <w:t>四</w:t>
      </w:r>
      <w:r>
        <w:rPr>
          <w:rFonts w:hint="eastAsia" w:ascii="仿宋_GB2312" w:hAnsi="仿宋_GB2312" w:eastAsia="仿宋_GB2312" w:cs="仿宋_GB2312"/>
          <w:color w:val="auto"/>
        </w:rPr>
        <w:t>个方面：一是对《规划》设定的主要指标完成情况</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主要任务实施</w:t>
      </w:r>
      <w:r>
        <w:rPr>
          <w:rFonts w:hint="eastAsia" w:ascii="仿宋_GB2312" w:hAnsi="仿宋_GB2312" w:eastAsia="仿宋_GB2312" w:cs="仿宋_GB2312"/>
          <w:color w:val="auto"/>
          <w:lang w:val="en-US" w:eastAsia="zh-CN"/>
        </w:rPr>
        <w:t>情况</w:t>
      </w:r>
      <w:r>
        <w:rPr>
          <w:rFonts w:hint="eastAsia" w:ascii="仿宋_GB2312" w:hAnsi="仿宋_GB2312" w:eastAsia="仿宋_GB2312" w:cs="仿宋_GB2312"/>
          <w:color w:val="auto"/>
        </w:rPr>
        <w:t>、重点项目建设情况进行评估</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二是</w:t>
      </w:r>
      <w:r>
        <w:rPr>
          <w:rFonts w:hint="eastAsia" w:ascii="仿宋_GB2312" w:hAnsi="仿宋_GB2312" w:eastAsia="仿宋_GB2312" w:cs="仿宋_GB2312"/>
          <w:color w:val="auto"/>
        </w:rPr>
        <w:t>分析《</w:t>
      </w:r>
      <w:r>
        <w:rPr>
          <w:rFonts w:hint="eastAsia" w:ascii="仿宋_GB2312" w:hAnsi="仿宋_GB2312" w:eastAsia="仿宋_GB2312" w:cs="仿宋_GB2312"/>
          <w:color w:val="auto"/>
          <w:lang w:val="en-US" w:eastAsia="zh-CN"/>
        </w:rPr>
        <w:t>规划</w:t>
      </w:r>
      <w:r>
        <w:rPr>
          <w:rFonts w:hint="eastAsia" w:ascii="仿宋_GB2312" w:hAnsi="仿宋_GB2312" w:eastAsia="仿宋_GB2312" w:cs="仿宋_GB2312"/>
          <w:color w:val="auto"/>
        </w:rPr>
        <w:t>》实施过程中存在的主要问题；</w:t>
      </w:r>
      <w:r>
        <w:rPr>
          <w:rFonts w:hint="eastAsia" w:ascii="仿宋_GB2312" w:hAnsi="仿宋_GB2312" w:eastAsia="仿宋_GB2312" w:cs="仿宋_GB2312"/>
          <w:color w:val="auto"/>
          <w:lang w:val="en-US" w:eastAsia="zh-CN"/>
        </w:rPr>
        <w:t>三</w:t>
      </w:r>
      <w:r>
        <w:rPr>
          <w:rFonts w:hint="eastAsia" w:ascii="仿宋_GB2312" w:hAnsi="仿宋_GB2312" w:eastAsia="仿宋_GB2312" w:cs="仿宋_GB2312"/>
          <w:color w:val="auto"/>
        </w:rPr>
        <w:t>是结合</w:t>
      </w:r>
      <w:r>
        <w:rPr>
          <w:rFonts w:hint="eastAsia" w:ascii="仿宋_GB2312" w:hAnsi="仿宋_GB2312" w:eastAsia="仿宋_GB2312" w:cs="仿宋_GB2312"/>
          <w:color w:val="auto"/>
          <w:lang w:val="en-US" w:eastAsia="zh-CN"/>
        </w:rPr>
        <w:t>宏观</w:t>
      </w:r>
      <w:r>
        <w:rPr>
          <w:rFonts w:hint="eastAsia" w:ascii="仿宋_GB2312" w:hAnsi="仿宋_GB2312" w:eastAsia="仿宋_GB2312" w:cs="仿宋_GB2312"/>
          <w:color w:val="auto"/>
        </w:rPr>
        <w:t>经济社会发展形势，对</w:t>
      </w:r>
      <w:r>
        <w:rPr>
          <w:rFonts w:hint="eastAsia" w:ascii="仿宋_GB2312" w:hAnsi="仿宋_GB2312" w:eastAsia="仿宋_GB2312" w:cs="仿宋_GB2312"/>
          <w:color w:val="auto"/>
          <w:lang w:val="en-US" w:eastAsia="zh-CN"/>
        </w:rPr>
        <w:t>中</w:t>
      </w:r>
      <w:r>
        <w:rPr>
          <w:rFonts w:hint="eastAsia" w:ascii="仿宋_GB2312" w:hAnsi="仿宋_GB2312" w:eastAsia="仿宋_GB2312" w:cs="仿宋_GB2312"/>
          <w:color w:val="auto"/>
        </w:rPr>
        <w:t>后期指标完成情况进行预测；</w:t>
      </w:r>
      <w:r>
        <w:rPr>
          <w:rFonts w:hint="eastAsia" w:ascii="仿宋_GB2312" w:hAnsi="仿宋_GB2312" w:eastAsia="仿宋_GB2312" w:cs="仿宋_GB2312"/>
          <w:color w:val="auto"/>
          <w:lang w:val="en-US" w:eastAsia="zh-CN"/>
        </w:rPr>
        <w:t>四</w:t>
      </w:r>
      <w:r>
        <w:rPr>
          <w:rFonts w:hint="eastAsia" w:ascii="仿宋_GB2312" w:hAnsi="仿宋_GB2312" w:eastAsia="仿宋_GB2312" w:cs="仿宋_GB2312"/>
          <w:color w:val="auto"/>
        </w:rPr>
        <w:t>是提出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十四五</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中后期</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规划</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实施建议</w:t>
      </w:r>
      <w:r>
        <w:rPr>
          <w:rFonts w:hint="eastAsia" w:ascii="仿宋_GB2312" w:hAnsi="仿宋_GB2312" w:eastAsia="仿宋_GB2312" w:cs="仿宋_GB2312"/>
          <w:color w:val="auto"/>
        </w:rPr>
        <w:t>。</w:t>
      </w:r>
    </w:p>
    <w:p w14:paraId="613B233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rPr>
      </w:pP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规划</w:t>
      </w:r>
      <w:r>
        <w:rPr>
          <w:rFonts w:hint="eastAsia" w:ascii="仿宋_GB2312" w:hAnsi="仿宋_GB2312" w:eastAsia="仿宋_GB2312" w:cs="仿宋_GB2312"/>
          <w:color w:val="auto"/>
        </w:rPr>
        <w:t>》中期评估的评估期为20</w:t>
      </w:r>
      <w:r>
        <w:rPr>
          <w:rFonts w:hint="eastAsia" w:ascii="仿宋_GB2312" w:hAnsi="仿宋_GB2312" w:eastAsia="仿宋_GB2312" w:cs="仿宋_GB2312"/>
          <w:color w:val="auto"/>
          <w:lang w:val="en-US" w:eastAsia="zh-CN"/>
        </w:rPr>
        <w:t>21</w:t>
      </w:r>
      <w:r>
        <w:rPr>
          <w:rFonts w:hint="eastAsia" w:ascii="仿宋_GB2312" w:hAnsi="仿宋_GB2312" w:eastAsia="仿宋_GB2312" w:cs="仿宋_GB2312"/>
          <w:color w:val="auto"/>
        </w:rPr>
        <w:t>年1月1日至20</w:t>
      </w:r>
      <w:r>
        <w:rPr>
          <w:rFonts w:hint="eastAsia" w:ascii="仿宋_GB2312" w:hAnsi="仿宋_GB2312" w:eastAsia="仿宋_GB2312" w:cs="仿宋_GB2312"/>
          <w:color w:val="auto"/>
          <w:lang w:val="en-US" w:eastAsia="zh-CN"/>
        </w:rPr>
        <w:t>23</w:t>
      </w:r>
      <w:r>
        <w:rPr>
          <w:rFonts w:hint="eastAsia" w:ascii="仿宋_GB2312" w:hAnsi="仿宋_GB2312" w:eastAsia="仿宋_GB2312" w:cs="仿宋_GB2312"/>
          <w:color w:val="auto"/>
        </w:rPr>
        <w:t>年6月30日，预测期</w:t>
      </w:r>
      <w:r>
        <w:rPr>
          <w:rFonts w:hint="eastAsia" w:ascii="仿宋_GB2312" w:hAnsi="仿宋_GB2312" w:eastAsia="仿宋_GB2312" w:cs="仿宋_GB2312"/>
          <w:color w:val="auto"/>
          <w:lang w:val="en-US" w:eastAsia="zh-CN"/>
        </w:rPr>
        <w:t>到</w:t>
      </w:r>
      <w:r>
        <w:rPr>
          <w:rFonts w:hint="eastAsia" w:ascii="仿宋_GB2312" w:hAnsi="仿宋_GB2312" w:eastAsia="仿宋_GB2312" w:cs="仿宋_GB2312"/>
          <w:color w:val="auto"/>
        </w:rPr>
        <w:t>202</w:t>
      </w: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rPr>
        <w:t>年</w:t>
      </w:r>
      <w:r>
        <w:rPr>
          <w:rFonts w:hint="eastAsia" w:ascii="仿宋_GB2312" w:hAnsi="仿宋_GB2312" w:eastAsia="仿宋_GB2312" w:cs="仿宋_GB2312"/>
          <w:color w:val="auto"/>
          <w:lang w:val="en-US" w:eastAsia="zh-CN"/>
        </w:rPr>
        <w:t>底</w:t>
      </w:r>
      <w:r>
        <w:rPr>
          <w:rFonts w:hint="eastAsia" w:ascii="仿宋_GB2312" w:hAnsi="仿宋_GB2312" w:eastAsia="仿宋_GB2312" w:cs="仿宋_GB2312"/>
          <w:color w:val="auto"/>
        </w:rPr>
        <w:t>。中期评估采用的</w:t>
      </w:r>
      <w:r>
        <w:rPr>
          <w:rFonts w:hint="eastAsia" w:ascii="仿宋_GB2312" w:hAnsi="仿宋_GB2312" w:eastAsia="仿宋_GB2312" w:cs="仿宋_GB2312"/>
          <w:color w:val="auto"/>
          <w:lang w:val="en-US" w:eastAsia="zh-CN"/>
        </w:rPr>
        <w:t>年度</w:t>
      </w:r>
      <w:r>
        <w:rPr>
          <w:rFonts w:hint="eastAsia" w:ascii="仿宋_GB2312" w:hAnsi="仿宋_GB2312" w:eastAsia="仿宋_GB2312" w:cs="仿宋_GB2312"/>
          <w:color w:val="auto"/>
        </w:rPr>
        <w:t>数据截止</w:t>
      </w:r>
      <w:r>
        <w:rPr>
          <w:rFonts w:hint="eastAsia" w:ascii="仿宋_GB2312" w:hAnsi="仿宋_GB2312" w:eastAsia="仿宋_GB2312" w:cs="仿宋_GB2312"/>
          <w:color w:val="auto"/>
          <w:lang w:val="en-US" w:eastAsia="zh-CN"/>
        </w:rPr>
        <w:t>时点</w:t>
      </w:r>
      <w:r>
        <w:rPr>
          <w:rFonts w:hint="eastAsia" w:ascii="仿宋_GB2312" w:hAnsi="仿宋_GB2312" w:eastAsia="仿宋_GB2312" w:cs="仿宋_GB2312"/>
          <w:color w:val="auto"/>
        </w:rPr>
        <w:t>为2022年12月31日，月度数据截止时点为2023年6月30</w:t>
      </w:r>
      <w:r>
        <w:rPr>
          <w:rFonts w:hint="eastAsia" w:ascii="仿宋_GB2312" w:hAnsi="仿宋_GB2312" w:eastAsia="仿宋_GB2312" w:cs="仿宋_GB2312"/>
          <w:color w:val="auto"/>
          <w:lang w:val="en-US" w:eastAsia="zh-CN"/>
        </w:rPr>
        <w:t>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zCs w:val="32"/>
        </w:rPr>
        <w:br w:type="page"/>
      </w:r>
    </w:p>
    <w:p w14:paraId="7B59FC0B">
      <w:pPr>
        <w:pStyle w:val="4"/>
        <w:keepNext/>
        <w:keepLines/>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Times New Roman" w:hAnsi="Times New Roman" w:eastAsia="黑体" w:cs="Times New Roman"/>
          <w:color w:val="auto"/>
          <w:lang w:val="en-US" w:eastAsia="zh-CN"/>
        </w:rPr>
      </w:pPr>
      <w:bookmarkStart w:id="19" w:name="_Toc531593561"/>
      <w:bookmarkStart w:id="20" w:name="_Toc5344_WPSOffice_Level1"/>
      <w:bookmarkStart w:id="21" w:name="_Toc2748_WPSOffice_Level1"/>
      <w:bookmarkStart w:id="22" w:name="_Toc25502_WPSOffice_Level1"/>
      <w:bookmarkStart w:id="23" w:name="_Toc22363"/>
      <w:bookmarkStart w:id="24" w:name="_Toc25160"/>
      <w:bookmarkStart w:id="25" w:name="_Toc19439"/>
      <w:bookmarkStart w:id="26" w:name="_Toc22065"/>
      <w:bookmarkStart w:id="27" w:name="_Toc12524_WPSOffice_Level1"/>
      <w:bookmarkStart w:id="28" w:name="_Toc3352_WPSOffice_Level1"/>
      <w:bookmarkStart w:id="29" w:name="_Toc15120_WPSOffice_Level1"/>
      <w:r>
        <w:rPr>
          <w:rFonts w:hint="default" w:ascii="Times New Roman" w:hAnsi="Times New Roman" w:eastAsia="黑体" w:cs="Times New Roman"/>
          <w:color w:val="auto"/>
        </w:rPr>
        <w:t>一、</w:t>
      </w:r>
      <w:bookmarkEnd w:id="19"/>
      <w:bookmarkEnd w:id="20"/>
      <w:bookmarkEnd w:id="21"/>
      <w:bookmarkEnd w:id="22"/>
      <w:r>
        <w:rPr>
          <w:rFonts w:hint="default" w:ascii="Times New Roman" w:hAnsi="Times New Roman" w:eastAsia="黑体" w:cs="Times New Roman"/>
          <w:color w:val="auto"/>
        </w:rPr>
        <w:t>规划</w:t>
      </w:r>
      <w:r>
        <w:rPr>
          <w:rFonts w:hint="default" w:ascii="Times New Roman" w:hAnsi="Times New Roman" w:cs="Times New Roman"/>
          <w:color w:val="auto"/>
          <w:lang w:val="en-US" w:eastAsia="zh-CN"/>
        </w:rPr>
        <w:t>目标任务</w:t>
      </w:r>
      <w:r>
        <w:rPr>
          <w:rFonts w:hint="default" w:ascii="Times New Roman" w:hAnsi="Times New Roman" w:eastAsia="黑体" w:cs="Times New Roman"/>
          <w:color w:val="auto"/>
          <w:lang w:val="en-US" w:eastAsia="zh-CN"/>
        </w:rPr>
        <w:t>完成情况</w:t>
      </w:r>
      <w:bookmarkEnd w:id="23"/>
      <w:bookmarkEnd w:id="24"/>
      <w:bookmarkEnd w:id="25"/>
      <w:bookmarkEnd w:id="26"/>
    </w:p>
    <w:p w14:paraId="324C8C0D">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十四五”上半场，面对错综复杂的国内外形势、新冠肺炎疫情冲击以及极端天气等超预期因素影响，全区坚持以经济建设为中心，以改革开放为动力，以共同富裕为目标，切实把握“市区一体”优势、“武咸同城”机遇，统筹疫情防控和经济社会发展，统筹发展和安全，“十四五”规划实施取得阶段性成果，规划主要发展目标、重大任务和重大项目中期执行情况整体良好，经济运行稳中向好，战疫情、促发展、保民生、护稳定、防风险等各项工作扎实推进，“中国桂花城 华中康养区”城市名片不断擦亮，“文明城市、城乡统筹、营商环境、人民幸福”四个首善之区建设成势见效，自然生态公园城市风貌逐步显现，人民群众获得感、幸福感、安全感明显增强，全区国民经济和社会发展跃上新台阶，为实现“十四五”规划各项目标任务奠定了基础。</w:t>
      </w:r>
    </w:p>
    <w:p w14:paraId="30D82411">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Times New Roman" w:hAnsi="Times New Roman" w:eastAsia="楷体_GB2312" w:cs="Times New Roman"/>
          <w:color w:val="auto"/>
          <w:lang w:eastAsia="zh-CN"/>
        </w:rPr>
      </w:pPr>
      <w:bookmarkStart w:id="30" w:name="_Toc24673"/>
      <w:bookmarkStart w:id="31" w:name="_Toc25424"/>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一</w:t>
      </w:r>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规划目标完成</w:t>
      </w:r>
      <w:r>
        <w:rPr>
          <w:rFonts w:hint="default" w:ascii="Times New Roman" w:hAnsi="Times New Roman" w:eastAsia="楷体_GB2312" w:cs="Times New Roman"/>
          <w:color w:val="auto"/>
          <w:lang w:eastAsia="zh-CN"/>
        </w:rPr>
        <w:t>情况</w:t>
      </w:r>
      <w:bookmarkEnd w:id="30"/>
      <w:bookmarkEnd w:id="31"/>
    </w:p>
    <w:p w14:paraId="7C54EA74">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规划》提出经济发展、创新能力、民生就业、生态环境、安全生产5个领域共计25项指标，其中预期性指标15项、约束性指标10项。从规划中期执行情况看，21项指标进度总体符合预期，2项预期性指标进度滞后、2项约束性指标统计口径发生变动未达到预期进度。</w:t>
      </w:r>
    </w:p>
    <w:p w14:paraId="4DCFB99A">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其中，经济发展目标稳中有进，经济总量突破440亿元，经济增速居全市第二，表明咸安区经济发展任务全面有序推进，经济运行整体呈现恢复向好态势。创新能力目标平稳推进，高新技术产业增加值占GDP比重从2020年的18%增</w:t>
      </w:r>
      <w:r>
        <w:rPr>
          <w:rFonts w:hint="default" w:ascii="Times New Roman" w:hAnsi="Times New Roman" w:eastAsia="仿宋_GB2312" w:cs="Times New Roman"/>
          <w:color w:val="auto"/>
          <w:lang w:val="en-US" w:eastAsia="zh-CN"/>
        </w:rPr>
        <w:t>加到</w:t>
      </w:r>
      <w:r>
        <w:rPr>
          <w:rFonts w:hint="eastAsia" w:ascii="仿宋_GB2312" w:hAnsi="仿宋_GB2312" w:eastAsia="仿宋_GB2312" w:cs="仿宋_GB2312"/>
          <w:color w:val="auto"/>
          <w:lang w:val="en-US" w:eastAsia="zh-CN"/>
        </w:rPr>
        <w:t>2022年的22.66%，分别高于全省、全市1.0和3.7个百分点，每万人发明专利拥有量已提前完成规划目标，表明创新动能加速集聚。民生就业目标总体超前，每千人口拥有执业（助理）医师数、每千人口拥有0-3岁婴幼儿托位数已提前完成规划目标，并高于省市平均水平，表明民生福祉不断增进。生态环境目标基本达标，单位GDP二氧化碳排放降低、万元GDP用水量降低、万元GDP地耗降低控制在省定目标以内，表明生态优势持续巩固。安全生产目标顺利完成，表明粮食安全和能源保障进一步夯实。</w:t>
      </w:r>
    </w:p>
    <w:p w14:paraId="19CFB3B6">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规模以上工业增加值、研发费用投入增长进度滞后，万</w:t>
      </w:r>
      <w:r>
        <w:rPr>
          <w:rFonts w:hint="eastAsia" w:ascii="仿宋_GB2312" w:hAnsi="仿宋_GB2312" w:eastAsia="仿宋_GB2312" w:cs="仿宋_GB2312"/>
          <w:color w:val="auto"/>
          <w:lang w:val="en-US" w:eastAsia="zh-CN"/>
        </w:rPr>
        <w:t>元GDP能</w:t>
      </w:r>
      <w:r>
        <w:rPr>
          <w:rFonts w:hint="default" w:ascii="Times New Roman" w:hAnsi="Times New Roman" w:eastAsia="仿宋_GB2312" w:cs="Times New Roman"/>
          <w:color w:val="auto"/>
          <w:lang w:val="en-US" w:eastAsia="zh-CN"/>
        </w:rPr>
        <w:t>源消耗下降、森林覆盖率因统计口径发生变动未达到预期进度，表明在高质量发展形势下，咸安</w:t>
      </w:r>
      <w:r>
        <w:rPr>
          <w:rFonts w:hint="default" w:ascii="Times New Roman" w:hAnsi="Times New Roman" w:eastAsia="仿宋_GB2312" w:cs="Times New Roman"/>
          <w:color w:val="auto"/>
        </w:rPr>
        <w:t>区</w:t>
      </w:r>
      <w:r>
        <w:rPr>
          <w:rFonts w:hint="default" w:ascii="Times New Roman" w:hAnsi="Times New Roman" w:eastAsia="仿宋_GB2312" w:cs="Times New Roman"/>
          <w:color w:val="auto"/>
          <w:lang w:val="en-US" w:eastAsia="zh-CN"/>
        </w:rPr>
        <w:t>工业发展</w:t>
      </w:r>
      <w:r>
        <w:rPr>
          <w:rFonts w:hint="default" w:ascii="Times New Roman" w:hAnsi="Times New Roman" w:eastAsia="仿宋_GB2312" w:cs="Times New Roman"/>
          <w:color w:val="auto"/>
        </w:rPr>
        <w:t>增速放缓，</w:t>
      </w:r>
      <w:r>
        <w:rPr>
          <w:rFonts w:hint="default" w:ascii="Times New Roman" w:hAnsi="Times New Roman" w:eastAsia="仿宋_GB2312" w:cs="Times New Roman"/>
          <w:color w:val="auto"/>
          <w:lang w:val="en-US" w:eastAsia="zh-CN"/>
        </w:rPr>
        <w:t>持续增加研发投入困难，生态约束趋紧，咸安区持续优化产业结构、加快新旧动能转换的压力较大。</w:t>
      </w:r>
      <w:r>
        <w:rPr>
          <w:rFonts w:hint="default" w:ascii="Times New Roman" w:hAnsi="Times New Roman" w:eastAsia="仿宋_GB2312" w:cs="Times New Roman"/>
          <w:color w:val="auto"/>
        </w:rPr>
        <w:t>指标具体进展情况</w:t>
      </w:r>
      <w:r>
        <w:rPr>
          <w:rFonts w:hint="default" w:ascii="Times New Roman" w:hAnsi="Times New Roman" w:eastAsia="仿宋_GB2312" w:cs="Times New Roman"/>
          <w:color w:val="auto"/>
          <w:lang w:val="en-US" w:eastAsia="zh-CN"/>
        </w:rPr>
        <w:t>详见附</w:t>
      </w:r>
      <w:r>
        <w:rPr>
          <w:rFonts w:hint="eastAsia" w:ascii="仿宋_GB2312" w:hAnsi="仿宋_GB2312" w:eastAsia="仿宋_GB2312" w:cs="仿宋_GB2312"/>
          <w:color w:val="auto"/>
          <w:lang w:val="en-US" w:eastAsia="zh-CN"/>
        </w:rPr>
        <w:t>件1。</w:t>
      </w:r>
    </w:p>
    <w:p w14:paraId="5AF0E720">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Times New Roman" w:hAnsi="Times New Roman" w:eastAsia="楷体_GB2312" w:cs="Times New Roman"/>
          <w:color w:val="auto"/>
          <w:lang w:eastAsia="zh-CN"/>
        </w:rPr>
      </w:pPr>
      <w:bookmarkStart w:id="32" w:name="_Toc22230_WPSOffice_Level2"/>
      <w:bookmarkStart w:id="33" w:name="_Toc11858"/>
      <w:bookmarkStart w:id="34" w:name="_Toc27640"/>
      <w:bookmarkStart w:id="35" w:name="_Toc10106_WPSOffice_Level2"/>
      <w:bookmarkStart w:id="36" w:name="_Toc11315"/>
      <w:bookmarkStart w:id="37" w:name="_Toc18759_WPSOffice_Level2"/>
      <w:bookmarkStart w:id="38" w:name="_Toc531593571"/>
      <w:bookmarkStart w:id="39" w:name="_Toc13398"/>
      <w:bookmarkStart w:id="40" w:name="_Toc25502_WPSOffice_Level2"/>
      <w:bookmarkStart w:id="41" w:name="_Toc5037_WPSOffice_Level2"/>
      <w:bookmarkStart w:id="42" w:name="_Toc886"/>
      <w:bookmarkStart w:id="43" w:name="_Toc5344_WPSOffice_Level2"/>
      <w:bookmarkStart w:id="44" w:name="_Toc531593563"/>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二</w:t>
      </w:r>
      <w:r>
        <w:rPr>
          <w:rFonts w:hint="default" w:ascii="Times New Roman" w:hAnsi="Times New Roman" w:eastAsia="楷体_GB2312" w:cs="Times New Roman"/>
          <w:color w:val="auto"/>
          <w:lang w:eastAsia="zh-CN"/>
        </w:rPr>
        <w:t>）</w:t>
      </w:r>
      <w:r>
        <w:rPr>
          <w:rFonts w:hint="default" w:ascii="Times New Roman" w:hAnsi="Times New Roman" w:eastAsia="楷体_GB2312" w:cs="Times New Roman"/>
          <w:color w:val="auto"/>
          <w:lang w:val="en-US" w:eastAsia="zh-CN"/>
        </w:rPr>
        <w:t>规划任务</w:t>
      </w:r>
      <w:r>
        <w:rPr>
          <w:rFonts w:hint="default" w:ascii="Times New Roman" w:hAnsi="Times New Roman" w:eastAsia="楷体_GB2312" w:cs="Times New Roman"/>
          <w:color w:val="auto"/>
          <w:lang w:eastAsia="zh-CN"/>
        </w:rPr>
        <w:t>落实情况</w:t>
      </w:r>
      <w:bookmarkEnd w:id="32"/>
      <w:bookmarkEnd w:id="33"/>
      <w:bookmarkEnd w:id="34"/>
      <w:bookmarkEnd w:id="35"/>
      <w:bookmarkEnd w:id="36"/>
      <w:bookmarkEnd w:id="37"/>
      <w:bookmarkEnd w:id="38"/>
      <w:bookmarkEnd w:id="39"/>
    </w:p>
    <w:p w14:paraId="7B23619C">
      <w:pPr>
        <w:pStyle w:val="6"/>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3" w:firstLineChars="200"/>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综合经济稳中向好</w:t>
      </w:r>
    </w:p>
    <w:p w14:paraId="531CF66B">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lang w:val="en-US" w:eastAsia="zh-CN"/>
        </w:rPr>
      </w:pPr>
      <w:r>
        <w:rPr>
          <w:rFonts w:hint="eastAsia" w:ascii="仿宋_GB2312" w:hAnsi="仿宋_GB2312" w:eastAsia="仿宋_GB2312" w:cs="仿宋_GB2312"/>
          <w:b/>
          <w:bCs/>
          <w:color w:val="auto"/>
          <w:lang w:val="en-US" w:eastAsia="zh-CN"/>
        </w:rPr>
        <w:t>经济总量持续壮大，</w:t>
      </w:r>
      <w:r>
        <w:rPr>
          <w:rFonts w:hint="eastAsia" w:ascii="仿宋_GB2312" w:hAnsi="仿宋_GB2312" w:eastAsia="仿宋_GB2312" w:cs="仿宋_GB2312"/>
          <w:color w:val="auto"/>
          <w:lang w:val="en-US" w:eastAsia="zh-CN"/>
        </w:rPr>
        <w:t>2021—2022年全区地区生产总值分别完成413.20亿元、441.71亿元，年均增速7.27%，</w:t>
      </w:r>
      <w:r>
        <w:rPr>
          <w:rFonts w:hint="eastAsia" w:ascii="仿宋_GB2312" w:hAnsi="仿宋_GB2312" w:eastAsia="仿宋_GB2312" w:cs="仿宋_GB2312"/>
          <w:color w:val="auto"/>
          <w:sz w:val="32"/>
          <w:szCs w:val="32"/>
          <w:lang w:val="en-US" w:eastAsia="zh-CN"/>
        </w:rPr>
        <w:t>2023年上半年增速为6.9%，居全市第二，</w:t>
      </w:r>
      <w:r>
        <w:rPr>
          <w:rFonts w:hint="eastAsia" w:ascii="仿宋_GB2312" w:hAnsi="仿宋_GB2312" w:eastAsia="仿宋_GB2312" w:cs="仿宋_GB2312"/>
          <w:color w:val="auto"/>
          <w:lang w:val="zh-CN" w:eastAsia="zh-CN"/>
        </w:rPr>
        <w:t>全区三次产业结构由2020年的9.57:41.33:49.10调整为2023年上半年的7.26:45.82:46.92，</w:t>
      </w:r>
      <w:r>
        <w:rPr>
          <w:rFonts w:hint="eastAsia" w:ascii="仿宋_GB2312" w:hAnsi="仿宋_GB2312" w:eastAsia="仿宋_GB2312" w:cs="仿宋_GB2312"/>
          <w:color w:val="auto"/>
          <w:lang w:val="en-US" w:eastAsia="zh-CN"/>
        </w:rPr>
        <w:t>第二产业比重稳步提高</w:t>
      </w:r>
      <w:r>
        <w:rPr>
          <w:rFonts w:hint="eastAsia" w:ascii="仿宋_GB2312" w:hAnsi="仿宋_GB2312" w:eastAsia="仿宋_GB2312" w:cs="仿宋_GB2312"/>
          <w:color w:val="auto"/>
          <w:lang w:val="zh-CN" w:eastAsia="zh-CN"/>
        </w:rPr>
        <w:t>。</w:t>
      </w:r>
      <w:r>
        <w:rPr>
          <w:rFonts w:hint="eastAsia" w:ascii="仿宋_GB2312" w:hAnsi="仿宋_GB2312" w:eastAsia="仿宋_GB2312" w:cs="仿宋_GB2312"/>
          <w:b/>
          <w:bCs/>
          <w:color w:val="auto"/>
          <w:lang w:val="en-US" w:eastAsia="zh-CN"/>
        </w:rPr>
        <w:t>投资拉动仍居高位，</w:t>
      </w:r>
      <w:r>
        <w:rPr>
          <w:rFonts w:hint="eastAsia" w:ascii="仿宋_GB2312" w:hAnsi="仿宋_GB2312" w:eastAsia="仿宋_GB2312" w:cs="仿宋_GB2312"/>
          <w:color w:val="auto"/>
          <w:lang w:val="en-US" w:eastAsia="zh-CN"/>
        </w:rPr>
        <w:t>投资占GDP比重由53%下降到49.6%，2021-2022年固定资产投资分别完成191.48亿元、225.48亿元，同比分别增长26.7%、17.8%，2023年上半年，完成固定投资73.87亿元，同比增长7.9%，位居全市第三。</w:t>
      </w:r>
      <w:r>
        <w:rPr>
          <w:rFonts w:hint="eastAsia" w:ascii="仿宋_GB2312" w:hAnsi="仿宋_GB2312" w:eastAsia="仿宋_GB2312" w:cs="仿宋_GB2312"/>
          <w:b/>
          <w:bCs/>
          <w:color w:val="auto"/>
          <w:lang w:val="en-US" w:eastAsia="zh-CN"/>
        </w:rPr>
        <w:t>消费拉动逐步增强，</w:t>
      </w:r>
      <w:r>
        <w:rPr>
          <w:rFonts w:hint="eastAsia" w:ascii="仿宋_GB2312" w:hAnsi="仿宋_GB2312" w:eastAsia="仿宋_GB2312" w:cs="仿宋_GB2312"/>
          <w:color w:val="auto"/>
          <w:lang w:val="en-US" w:eastAsia="zh-CN"/>
        </w:rPr>
        <w:t>消费占GDP比重由44.7%上升到45.9%，全区</w:t>
      </w:r>
      <w:r>
        <w:rPr>
          <w:rFonts w:hint="eastAsia" w:ascii="仿宋_GB2312" w:hAnsi="仿宋_GB2312" w:eastAsia="仿宋_GB2312" w:cs="仿宋_GB2312"/>
          <w:color w:val="auto"/>
          <w:sz w:val="32"/>
          <w:szCs w:val="32"/>
        </w:rPr>
        <w:t>社会消费品零售总额</w:t>
      </w:r>
      <w:r>
        <w:rPr>
          <w:rFonts w:hint="eastAsia" w:ascii="仿宋_GB2312" w:hAnsi="仿宋_GB2312" w:eastAsia="仿宋_GB2312" w:cs="仿宋_GB2312"/>
          <w:color w:val="auto"/>
          <w:sz w:val="32"/>
          <w:szCs w:val="32"/>
          <w:lang w:val="en-US" w:eastAsia="zh-CN"/>
        </w:rPr>
        <w:t>2021</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sz w:val="32"/>
          <w:szCs w:val="32"/>
          <w:lang w:val="en-US" w:eastAsia="zh-CN"/>
        </w:rPr>
        <w:t>2022分别完成195.36亿元、203.22亿元，同比分别增长29.6%、4.0%，</w:t>
      </w:r>
      <w:r>
        <w:rPr>
          <w:rFonts w:hint="eastAsia" w:ascii="仿宋_GB2312" w:hAnsi="仿宋_GB2312" w:eastAsia="仿宋_GB2312" w:cs="仿宋_GB2312"/>
          <w:color w:val="auto"/>
          <w:lang w:val="en-US" w:eastAsia="zh-CN"/>
        </w:rPr>
        <w:t>2023年上半年全区完成社会零售总额93.54亿元，同比增长8.9%。</w:t>
      </w:r>
      <w:r>
        <w:rPr>
          <w:rFonts w:hint="eastAsia" w:ascii="仿宋_GB2312" w:hAnsi="仿宋_GB2312" w:eastAsia="仿宋_GB2312" w:cs="仿宋_GB2312"/>
          <w:b/>
          <w:bCs/>
          <w:color w:val="auto"/>
          <w:lang w:val="en-US" w:eastAsia="zh-CN"/>
        </w:rPr>
        <w:t>城乡居民消费能力进一步提升</w:t>
      </w:r>
      <w:r>
        <w:rPr>
          <w:rFonts w:hint="eastAsia" w:ascii="仿宋_GB2312" w:hAnsi="仿宋_GB2312" w:eastAsia="仿宋_GB2312" w:cs="仿宋_GB2312"/>
          <w:color w:val="auto"/>
          <w:lang w:val="en-US" w:eastAsia="zh-CN"/>
        </w:rPr>
        <w:t>，城镇居民和农村居民人均可支配收入增速均高于经济增速，2023年上半年，全区城镇常住居民人均可支配收入同比增长5.6%，全市排第1。</w:t>
      </w:r>
      <w:r>
        <w:rPr>
          <w:rFonts w:hint="eastAsia" w:ascii="仿宋_GB2312" w:hAnsi="仿宋_GB2312" w:eastAsia="仿宋_GB2312" w:cs="仿宋_GB2312"/>
          <w:b/>
          <w:bCs/>
          <w:color w:val="auto"/>
          <w:lang w:val="en-US" w:eastAsia="zh-CN"/>
        </w:rPr>
        <w:t>财政收入持续改善</w:t>
      </w:r>
      <w:r>
        <w:rPr>
          <w:rFonts w:hint="eastAsia" w:ascii="仿宋_GB2312" w:hAnsi="仿宋_GB2312" w:eastAsia="仿宋_GB2312" w:cs="仿宋_GB2312"/>
          <w:color w:val="auto"/>
          <w:lang w:val="en-US" w:eastAsia="zh-CN"/>
        </w:rPr>
        <w:t>，2022年全区完成地方公共财政预算收入13.79亿元，同比增长16.8%，地方政府债务风险总体可控。</w:t>
      </w:r>
    </w:p>
    <w:p w14:paraId="746C6BE0">
      <w:pPr>
        <w:pStyle w:val="6"/>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3" w:firstLineChars="200"/>
        <w:textAlignment w:val="auto"/>
        <w:rPr>
          <w:rFonts w:hint="default" w:ascii="Times New Roman" w:hAnsi="Times New Roman" w:eastAsia="仿宋_GB2312" w:cs="Times New Roman"/>
          <w:b/>
          <w:bCs/>
          <w:color w:val="auto"/>
          <w:lang w:val="en-US" w:eastAsia="zh-CN"/>
        </w:rPr>
      </w:pPr>
      <w:r>
        <w:rPr>
          <w:rFonts w:hint="default" w:ascii="Times New Roman" w:hAnsi="Times New Roman" w:eastAsia="仿宋_GB2312" w:cs="Times New Roman"/>
          <w:color w:val="auto"/>
          <w:lang w:val="en-US" w:eastAsia="zh-CN"/>
        </w:rPr>
        <w:t>产业</w:t>
      </w:r>
      <w:r>
        <w:rPr>
          <w:rFonts w:hint="default" w:ascii="Times New Roman" w:hAnsi="Times New Roman" w:eastAsia="仿宋_GB2312" w:cs="Times New Roman"/>
          <w:b/>
          <w:bCs/>
          <w:color w:val="auto"/>
          <w:lang w:val="en-US" w:eastAsia="zh-CN"/>
        </w:rPr>
        <w:t>转型升级加快</w:t>
      </w:r>
    </w:p>
    <w:p w14:paraId="11617B61">
      <w:pPr>
        <w:pageBreakBefore w:val="0"/>
        <w:widowControl w:val="0"/>
        <w:kinsoku/>
        <w:wordWrap/>
        <w:overflowPunct/>
        <w:topLinePunct w:val="0"/>
        <w:autoSpaceDE/>
        <w:autoSpaceDN/>
        <w:bidi w:val="0"/>
        <w:adjustRightInd w:val="0"/>
        <w:snapToGrid w:val="0"/>
        <w:spacing w:line="560" w:lineRule="atLeast"/>
        <w:textAlignment w:val="auto"/>
        <w:rPr>
          <w:rFonts w:hint="eastAsia" w:ascii="仿宋_GB2312" w:hAnsi="仿宋_GB2312" w:eastAsia="仿宋_GB2312" w:cs="仿宋_GB2312"/>
          <w:color w:val="auto"/>
          <w:lang w:val="zh-CN"/>
        </w:rPr>
      </w:pPr>
      <w:r>
        <w:rPr>
          <w:rFonts w:hint="eastAsia" w:ascii="仿宋_GB2312" w:hAnsi="仿宋_GB2312" w:eastAsia="仿宋_GB2312" w:cs="仿宋_GB2312"/>
          <w:b/>
          <w:bCs/>
          <w:color w:val="auto"/>
          <w:lang w:val="zh-CN"/>
        </w:rPr>
        <w:t>现代农业全面推进。</w:t>
      </w:r>
      <w:r>
        <w:rPr>
          <w:rFonts w:hint="eastAsia" w:ascii="仿宋_GB2312" w:hAnsi="仿宋_GB2312" w:eastAsia="仿宋_GB2312" w:cs="仿宋_GB2312"/>
          <w:b/>
          <w:bCs/>
          <w:color w:val="auto"/>
          <w:lang w:val="en-US" w:eastAsia="zh-CN"/>
        </w:rPr>
        <w:t>重要农产品生产能力进一步提升，</w:t>
      </w:r>
      <w:r>
        <w:rPr>
          <w:rFonts w:hint="eastAsia" w:ascii="仿宋_GB2312" w:hAnsi="仿宋_GB2312" w:eastAsia="仿宋_GB2312" w:cs="仿宋_GB2312"/>
          <w:bCs w:val="0"/>
          <w:color w:val="auto"/>
          <w:sz w:val="32"/>
          <w:szCs w:val="22"/>
          <w:lang w:val="zh-CN" w:eastAsia="zh-CN"/>
        </w:rPr>
        <w:t>2022年全区粮食、油料、蔬菜及食用菌种植总面积分别为53.07万亩、45.18万亩、22.54万亩</w:t>
      </w:r>
      <w:r>
        <w:rPr>
          <w:rFonts w:hint="eastAsia" w:ascii="仿宋_GB2312" w:hAnsi="仿宋_GB2312" w:eastAsia="仿宋_GB2312" w:cs="仿宋_GB2312"/>
          <w:color w:val="auto"/>
          <w:lang w:val="zh-CN" w:eastAsia="zh-CN"/>
        </w:rPr>
        <w:t>，总产量</w:t>
      </w:r>
      <w:r>
        <w:rPr>
          <w:rFonts w:hint="eastAsia" w:ascii="仿宋_GB2312" w:hAnsi="仿宋_GB2312" w:eastAsia="仿宋_GB2312" w:cs="仿宋_GB2312"/>
          <w:color w:val="auto"/>
          <w:lang w:val="en-US" w:eastAsia="zh-CN"/>
        </w:rPr>
        <w:t>分别为</w:t>
      </w:r>
      <w:r>
        <w:rPr>
          <w:rFonts w:hint="eastAsia" w:ascii="仿宋_GB2312" w:hAnsi="仿宋_GB2312" w:eastAsia="仿宋_GB2312" w:cs="仿宋_GB2312"/>
          <w:color w:val="auto"/>
          <w:lang w:val="zh-CN"/>
        </w:rPr>
        <w:t>22.44万吨、5.98</w:t>
      </w:r>
      <w:r>
        <w:rPr>
          <w:rFonts w:hint="eastAsia" w:ascii="仿宋_GB2312" w:hAnsi="仿宋_GB2312" w:eastAsia="仿宋_GB2312" w:cs="仿宋_GB2312"/>
          <w:color w:val="auto"/>
          <w:lang w:val="zh-CN" w:eastAsia="zh-CN"/>
        </w:rPr>
        <w:t>万吨</w:t>
      </w:r>
      <w:r>
        <w:rPr>
          <w:rFonts w:hint="eastAsia" w:ascii="仿宋_GB2312" w:hAnsi="仿宋_GB2312" w:eastAsia="仿宋_GB2312" w:cs="仿宋_GB2312"/>
          <w:color w:val="auto"/>
          <w:lang w:val="zh-CN"/>
        </w:rPr>
        <w:t>、32.5万吨，比2020年</w:t>
      </w:r>
      <w:r>
        <w:rPr>
          <w:rFonts w:hint="eastAsia" w:ascii="仿宋_GB2312" w:hAnsi="仿宋_GB2312" w:eastAsia="仿宋_GB2312" w:cs="仿宋_GB2312"/>
          <w:color w:val="auto"/>
          <w:lang w:val="zh-CN" w:eastAsia="zh-CN"/>
        </w:rPr>
        <w:t>分别</w:t>
      </w:r>
      <w:r>
        <w:rPr>
          <w:rFonts w:hint="eastAsia" w:ascii="仿宋_GB2312" w:hAnsi="仿宋_GB2312" w:eastAsia="仿宋_GB2312" w:cs="仿宋_GB2312"/>
          <w:color w:val="auto"/>
          <w:lang w:val="zh-CN"/>
        </w:rPr>
        <w:t>增加1.49%、5.65%、4.97%，</w:t>
      </w:r>
      <w:r>
        <w:rPr>
          <w:rFonts w:hint="eastAsia" w:ascii="仿宋_GB2312" w:hAnsi="仿宋_GB2312" w:eastAsia="仿宋_GB2312" w:cs="仿宋_GB2312"/>
          <w:b w:val="0"/>
          <w:bCs w:val="0"/>
          <w:color w:val="auto"/>
          <w:lang w:val="zh-CN"/>
        </w:rPr>
        <w:t>持续保持“全省粮食生产重点县、全国油料生产大区、全国蔬菜重点县（区）”的</w:t>
      </w:r>
      <w:r>
        <w:rPr>
          <w:rFonts w:hint="eastAsia" w:ascii="仿宋_GB2312" w:hAnsi="仿宋_GB2312" w:eastAsia="仿宋_GB2312" w:cs="仿宋_GB2312"/>
          <w:color w:val="auto"/>
          <w:lang w:val="zh-CN"/>
        </w:rPr>
        <w:t>优势</w:t>
      </w:r>
      <w:r>
        <w:rPr>
          <w:rFonts w:hint="eastAsia" w:ascii="仿宋_GB2312" w:hAnsi="仿宋_GB2312" w:eastAsia="仿宋_GB2312" w:cs="仿宋_GB2312"/>
          <w:b w:val="0"/>
          <w:bCs w:val="0"/>
          <w:color w:val="auto"/>
          <w:lang w:val="zh-CN"/>
        </w:rPr>
        <w:t>地位</w:t>
      </w:r>
      <w:r>
        <w:rPr>
          <w:rFonts w:hint="eastAsia" w:ascii="仿宋_GB2312" w:hAnsi="仿宋_GB2312" w:eastAsia="仿宋_GB2312" w:cs="仿宋_GB2312"/>
          <w:color w:val="auto"/>
          <w:lang w:val="zh-CN" w:eastAsia="zh-CN"/>
        </w:rPr>
        <w:t>。</w:t>
      </w:r>
      <w:r>
        <w:rPr>
          <w:rFonts w:hint="eastAsia" w:ascii="仿宋_GB2312" w:hAnsi="仿宋_GB2312" w:eastAsia="仿宋_GB2312" w:cs="仿宋_GB2312"/>
          <w:b w:val="0"/>
          <w:bCs w:val="0"/>
          <w:color w:val="auto"/>
          <w:lang w:val="zh-CN" w:eastAsia="zh-CN"/>
        </w:rPr>
        <w:t>茶叶、畜禽、水产品量质齐升，</w:t>
      </w:r>
      <w:r>
        <w:rPr>
          <w:rFonts w:hint="eastAsia" w:ascii="仿宋_GB2312" w:hAnsi="仿宋_GB2312" w:eastAsia="仿宋_GB2312" w:cs="仿宋_GB2312"/>
          <w:color w:val="auto"/>
          <w:sz w:val="32"/>
          <w:szCs w:val="32"/>
        </w:rPr>
        <w:t>新增桂花面积超1万亩，</w:t>
      </w:r>
      <w:r>
        <w:rPr>
          <w:rFonts w:hint="eastAsia" w:ascii="仿宋_GB2312" w:hAnsi="仿宋_GB2312" w:eastAsia="仿宋_GB2312" w:cs="仿宋_GB2312"/>
          <w:b w:val="0"/>
          <w:bCs w:val="0"/>
          <w:color w:val="auto"/>
          <w:sz w:val="32"/>
          <w:szCs w:val="32"/>
          <w:lang w:val="en-US" w:eastAsia="zh-CN"/>
        </w:rPr>
        <w:t>建立楠竹示范林5万亩，</w:t>
      </w:r>
      <w:r>
        <w:rPr>
          <w:rFonts w:hint="eastAsia" w:ascii="仿宋_GB2312" w:hAnsi="仿宋_GB2312" w:eastAsia="仿宋_GB2312" w:cs="仿宋_GB2312"/>
          <w:color w:val="auto"/>
          <w:sz w:val="32"/>
          <w:szCs w:val="32"/>
        </w:rPr>
        <w:t>桂花产值增长率连续两年保持在17%以上</w:t>
      </w:r>
      <w:r>
        <w:rPr>
          <w:rFonts w:hint="eastAsia" w:ascii="仿宋_GB2312" w:hAnsi="仿宋_GB2312" w:eastAsia="仿宋_GB2312" w:cs="仿宋_GB2312"/>
          <w:b w:val="0"/>
          <w:bCs w:val="0"/>
          <w:color w:val="auto"/>
          <w:lang w:val="zh-CN" w:eastAsia="zh-CN"/>
        </w:rPr>
        <w:t>。</w:t>
      </w:r>
      <w:r>
        <w:rPr>
          <w:rFonts w:hint="eastAsia" w:ascii="仿宋_GB2312" w:hAnsi="仿宋_GB2312" w:eastAsia="仿宋_GB2312" w:cs="仿宋_GB2312"/>
          <w:b w:val="0"/>
          <w:bCs w:val="0"/>
          <w:color w:val="auto"/>
          <w:lang w:val="en-US" w:eastAsia="zh-CN"/>
        </w:rPr>
        <w:t>2022年</w:t>
      </w:r>
      <w:r>
        <w:rPr>
          <w:rFonts w:hint="eastAsia" w:ascii="仿宋_GB2312" w:hAnsi="仿宋_GB2312" w:eastAsia="仿宋_GB2312" w:cs="仿宋_GB2312"/>
          <w:b w:val="0"/>
          <w:bCs w:val="0"/>
          <w:color w:val="auto"/>
          <w:lang w:val="zh-CN"/>
        </w:rPr>
        <w:t>农业总产值达</w:t>
      </w:r>
      <w:r>
        <w:rPr>
          <w:rFonts w:hint="eastAsia" w:ascii="仿宋_GB2312" w:hAnsi="仿宋_GB2312" w:eastAsia="仿宋_GB2312" w:cs="仿宋_GB2312"/>
          <w:bCs w:val="0"/>
          <w:color w:val="auto"/>
          <w:sz w:val="32"/>
          <w:szCs w:val="22"/>
          <w:lang w:val="zh-CN" w:eastAsia="zh-CN"/>
        </w:rPr>
        <w:t>75.76</w:t>
      </w:r>
      <w:r>
        <w:rPr>
          <w:rFonts w:hint="eastAsia" w:ascii="仿宋_GB2312" w:hAnsi="仿宋_GB2312" w:eastAsia="仿宋_GB2312" w:cs="仿宋_GB2312"/>
          <w:b w:val="0"/>
          <w:bCs w:val="0"/>
          <w:color w:val="auto"/>
          <w:lang w:val="zh-CN"/>
        </w:rPr>
        <w:t>亿元，比2020年增加</w:t>
      </w:r>
      <w:r>
        <w:rPr>
          <w:rFonts w:hint="eastAsia" w:ascii="仿宋_GB2312" w:hAnsi="仿宋_GB2312" w:eastAsia="仿宋_GB2312" w:cs="仿宋_GB2312"/>
          <w:b w:val="0"/>
          <w:bCs w:val="0"/>
          <w:color w:val="auto"/>
          <w:lang w:val="en-US" w:eastAsia="zh-CN"/>
        </w:rPr>
        <w:t>12.78</w:t>
      </w:r>
      <w:r>
        <w:rPr>
          <w:rFonts w:hint="eastAsia" w:ascii="仿宋_GB2312" w:hAnsi="仿宋_GB2312" w:eastAsia="仿宋_GB2312" w:cs="仿宋_GB2312"/>
          <w:b w:val="0"/>
          <w:bCs w:val="0"/>
          <w:color w:val="auto"/>
          <w:lang w:val="zh-CN"/>
        </w:rPr>
        <w:t>亿元。</w:t>
      </w:r>
      <w:r>
        <w:rPr>
          <w:rFonts w:hint="eastAsia" w:ascii="仿宋_GB2312" w:hAnsi="仿宋_GB2312" w:eastAsia="仿宋_GB2312" w:cs="仿宋_GB2312"/>
          <w:b/>
          <w:bCs/>
          <w:color w:val="auto"/>
          <w:lang w:val="zh-CN"/>
        </w:rPr>
        <w:t>农业机械装备水平逐步提高，</w:t>
      </w:r>
      <w:r>
        <w:rPr>
          <w:rFonts w:hint="eastAsia" w:ascii="仿宋_GB2312" w:hAnsi="仿宋_GB2312" w:eastAsia="仿宋_GB2312" w:cs="仿宋_GB2312"/>
          <w:color w:val="auto"/>
          <w:lang w:val="zh-CN"/>
        </w:rPr>
        <w:t>2022年主要农作物耕种收综合作业水平达76%，比2020年增加2.46%，</w:t>
      </w:r>
      <w:r>
        <w:rPr>
          <w:rFonts w:hint="eastAsia" w:ascii="仿宋_GB2312" w:hAnsi="仿宋_GB2312" w:eastAsia="仿宋_GB2312" w:cs="仿宋_GB2312"/>
          <w:color w:val="auto"/>
          <w:lang w:val="en-US" w:eastAsia="zh-CN"/>
        </w:rPr>
        <w:t>荣获</w:t>
      </w:r>
      <w:r>
        <w:rPr>
          <w:rFonts w:hint="eastAsia" w:ascii="仿宋_GB2312" w:hAnsi="仿宋_GB2312" w:eastAsia="仿宋_GB2312" w:cs="仿宋_GB2312"/>
          <w:color w:val="auto"/>
          <w:lang w:val="zh-CN"/>
        </w:rPr>
        <w:t>“全国主要农作物生产全程机械化示范（</w:t>
      </w:r>
      <w:r>
        <w:rPr>
          <w:rFonts w:hint="eastAsia" w:ascii="仿宋_GB2312" w:hAnsi="仿宋_GB2312" w:eastAsia="仿宋_GB2312" w:cs="仿宋_GB2312"/>
          <w:color w:val="auto"/>
          <w:lang w:val="en-US" w:eastAsia="zh-CN"/>
        </w:rPr>
        <w:t>区</w:t>
      </w:r>
      <w:r>
        <w:rPr>
          <w:rFonts w:hint="eastAsia" w:ascii="仿宋_GB2312" w:hAnsi="仿宋_GB2312" w:eastAsia="仿宋_GB2312" w:cs="仿宋_GB2312"/>
          <w:color w:val="auto"/>
          <w:lang w:val="zh-CN"/>
        </w:rPr>
        <w:t>）”。</w:t>
      </w:r>
      <w:r>
        <w:rPr>
          <w:rFonts w:hint="eastAsia" w:ascii="仿宋_GB2312" w:hAnsi="仿宋_GB2312" w:eastAsia="仿宋_GB2312" w:cs="仿宋_GB2312"/>
          <w:b/>
          <w:bCs/>
          <w:color w:val="auto"/>
          <w:lang w:val="zh-CN"/>
        </w:rPr>
        <w:t>农产品加工能力持续增强，</w:t>
      </w:r>
      <w:r>
        <w:rPr>
          <w:rFonts w:hint="eastAsia" w:ascii="仿宋_GB2312" w:hAnsi="仿宋_GB2312" w:eastAsia="仿宋_GB2312" w:cs="仿宋_GB2312"/>
          <w:b w:val="0"/>
          <w:bCs w:val="0"/>
          <w:color w:val="auto"/>
          <w:lang w:val="zh-CN"/>
        </w:rPr>
        <w:t>截至目前全区拥有市级以上农业产业化龙头企业78家（含省级16家），数量居全市第一，与2020年相比增加13家，农产品加工业产值与农业总产值之比达到3.3：1。</w:t>
      </w:r>
      <w:r>
        <w:rPr>
          <w:rFonts w:hint="eastAsia" w:ascii="仿宋_GB2312" w:hAnsi="仿宋_GB2312" w:eastAsia="仿宋_GB2312" w:cs="仿宋_GB2312"/>
          <w:b/>
          <w:bCs/>
          <w:color w:val="auto"/>
          <w:lang w:val="zh-CN"/>
        </w:rPr>
        <w:t>农业品牌建设有效</w:t>
      </w:r>
      <w:r>
        <w:rPr>
          <w:rFonts w:hint="eastAsia" w:ascii="仿宋_GB2312" w:hAnsi="仿宋_GB2312" w:eastAsia="仿宋_GB2312" w:cs="仿宋_GB2312"/>
          <w:b w:val="0"/>
          <w:bCs w:val="0"/>
          <w:color w:val="auto"/>
          <w:lang w:val="zh-CN"/>
        </w:rPr>
        <w:t>，新创建“两品一标”品牌40个，咸安茶叶公共品牌“咸安桂茶”正式发布，累计拥有“咸宁桂花”“咸安桂茶”“贺胜鸡汤”“向阳湖莲子”等公共农产品品牌10个，荣获“全省农产品质量安全区”称号。</w:t>
      </w:r>
      <w:r>
        <w:rPr>
          <w:rFonts w:hint="eastAsia" w:ascii="仿宋_GB2312" w:hAnsi="仿宋_GB2312" w:eastAsia="仿宋_GB2312" w:cs="仿宋_GB2312"/>
          <w:b/>
          <w:bCs/>
          <w:color w:val="auto"/>
          <w:lang w:val="zh-CN"/>
        </w:rPr>
        <w:t>农业示范创建稳步推进</w:t>
      </w:r>
      <w:r>
        <w:rPr>
          <w:rFonts w:hint="eastAsia" w:ascii="仿宋_GB2312" w:hAnsi="仿宋_GB2312" w:eastAsia="仿宋_GB2312" w:cs="仿宋_GB2312"/>
          <w:b w:val="0"/>
          <w:bCs w:val="0"/>
          <w:color w:val="auto"/>
          <w:lang w:val="zh-CN"/>
        </w:rPr>
        <w:t>，成功获批创建第三批省级农村产业融合发展示范园，贺胜鸡汤通过第十一批全国“一镇一品”认定，“咸宁古桂花树群”正式入选第七批中国重要农业文化遗产项目名单。</w:t>
      </w:r>
    </w:p>
    <w:p w14:paraId="1943438E">
      <w:pPr>
        <w:pageBreakBefore w:val="0"/>
        <w:widowControl w:val="0"/>
        <w:kinsoku/>
        <w:wordWrap/>
        <w:overflowPunct/>
        <w:topLinePunct w:val="0"/>
        <w:autoSpaceDE/>
        <w:autoSpaceDN/>
        <w:bidi w:val="0"/>
        <w:adjustRightInd w:val="0"/>
        <w:snapToGrid w:val="0"/>
        <w:spacing w:line="560" w:lineRule="atLeast"/>
        <w:textAlignment w:val="auto"/>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bCs/>
          <w:color w:val="auto"/>
        </w:rPr>
        <w:t>工业经济</w:t>
      </w:r>
      <w:r>
        <w:rPr>
          <w:rFonts w:hint="eastAsia" w:ascii="仿宋_GB2312" w:hAnsi="仿宋_GB2312" w:eastAsia="仿宋_GB2312" w:cs="仿宋_GB2312"/>
          <w:b/>
          <w:bCs/>
          <w:color w:val="auto"/>
          <w:lang w:val="en-US" w:eastAsia="zh-CN"/>
        </w:rPr>
        <w:t>承压前行</w:t>
      </w:r>
      <w:r>
        <w:rPr>
          <w:rFonts w:hint="eastAsia" w:ascii="仿宋_GB2312" w:hAnsi="仿宋_GB2312" w:eastAsia="仿宋_GB2312" w:cs="仿宋_GB2312"/>
          <w:b/>
          <w:bCs/>
          <w:color w:val="auto"/>
        </w:rPr>
        <w:t>。</w:t>
      </w:r>
      <w:r>
        <w:rPr>
          <w:rFonts w:hint="eastAsia" w:ascii="仿宋_GB2312" w:hAnsi="仿宋_GB2312" w:eastAsia="仿宋_GB2312" w:cs="仿宋_GB2312"/>
          <w:b/>
          <w:bCs/>
          <w:color w:val="auto"/>
          <w:lang w:val="en-US" w:eastAsia="zh-CN"/>
        </w:rPr>
        <w:t>规上企业规模扩大，</w:t>
      </w:r>
      <w:r>
        <w:rPr>
          <w:rFonts w:hint="eastAsia" w:ascii="仿宋_GB2312" w:hAnsi="仿宋_GB2312" w:eastAsia="仿宋_GB2312" w:cs="仿宋_GB2312"/>
          <w:color w:val="auto"/>
          <w:lang w:val="en-US" w:eastAsia="zh-CN"/>
        </w:rPr>
        <w:t>2023上半年规上工业企业总数达到178家，比2020年累计净增19家；</w:t>
      </w:r>
      <w:r>
        <w:rPr>
          <w:rFonts w:hint="eastAsia" w:ascii="仿宋_GB2312" w:hAnsi="仿宋_GB2312" w:eastAsia="仿宋_GB2312" w:cs="仿宋_GB2312"/>
          <w:b w:val="0"/>
          <w:bCs w:val="0"/>
          <w:color w:val="auto"/>
          <w:kern w:val="2"/>
          <w:sz w:val="32"/>
          <w:szCs w:val="32"/>
          <w:lang w:val="en-US" w:eastAsia="zh-CN" w:bidi="ar-SA"/>
        </w:rPr>
        <w:t>实现工业总产值108.36亿元，同比增长7.6%。</w:t>
      </w:r>
      <w:r>
        <w:rPr>
          <w:rFonts w:hint="eastAsia" w:ascii="仿宋_GB2312" w:hAnsi="仿宋_GB2312" w:eastAsia="仿宋_GB2312" w:cs="仿宋_GB2312"/>
          <w:b w:val="0"/>
          <w:bCs w:val="0"/>
          <w:color w:val="auto"/>
          <w:lang w:val="en-US" w:eastAsia="zh-CN"/>
        </w:rPr>
        <w:t>2022年实施技改投资34.56亿元，同比增长18.1%，增幅位列全市第一；2023年上半年技改项目</w:t>
      </w:r>
      <w:r>
        <w:rPr>
          <w:rFonts w:hint="eastAsia" w:ascii="仿宋_GB2312" w:hAnsi="仿宋_GB2312" w:eastAsia="仿宋_GB2312" w:cs="仿宋_GB2312"/>
          <w:color w:val="auto"/>
          <w:sz w:val="32"/>
          <w:szCs w:val="32"/>
        </w:rPr>
        <w:t>争资额度</w:t>
      </w:r>
      <w:r>
        <w:rPr>
          <w:rFonts w:hint="eastAsia" w:ascii="仿宋_GB2312" w:hAnsi="仿宋_GB2312" w:eastAsia="仿宋_GB2312" w:cs="仿宋_GB2312"/>
          <w:b w:val="0"/>
          <w:bCs w:val="0"/>
          <w:color w:val="auto"/>
          <w:lang w:val="en-US" w:eastAsia="zh-CN"/>
        </w:rPr>
        <w:t>位于全市前列。</w:t>
      </w:r>
      <w:r>
        <w:rPr>
          <w:rFonts w:hint="eastAsia" w:ascii="仿宋_GB2312" w:hAnsi="仿宋_GB2312" w:eastAsia="仿宋_GB2312" w:cs="仿宋_GB2312"/>
          <w:b/>
          <w:bCs/>
          <w:color w:val="auto"/>
          <w:lang w:val="en-US" w:eastAsia="zh-CN"/>
        </w:rPr>
        <w:t>两化融合不断推进</w:t>
      </w:r>
      <w:r>
        <w:rPr>
          <w:rFonts w:hint="eastAsia" w:ascii="仿宋_GB2312" w:hAnsi="仿宋_GB2312" w:eastAsia="仿宋_GB2312" w:cs="仿宋_GB2312"/>
          <w:b w:val="0"/>
          <w:bCs w:val="0"/>
          <w:color w:val="auto"/>
          <w:lang w:val="en-US" w:eastAsia="zh-CN"/>
        </w:rPr>
        <w:t>，</w:t>
      </w:r>
      <w:r>
        <w:rPr>
          <w:rFonts w:hint="eastAsia" w:ascii="仿宋_GB2312" w:hAnsi="仿宋_GB2312" w:eastAsia="仿宋_GB2312" w:cs="仿宋_GB2312"/>
          <w:color w:val="auto"/>
        </w:rPr>
        <w:t>7家企业成功申报国家级两化融合管理体系贯标企业</w:t>
      </w:r>
      <w:r>
        <w:rPr>
          <w:rFonts w:hint="eastAsia" w:ascii="仿宋_GB2312" w:hAnsi="仿宋_GB2312" w:eastAsia="仿宋_GB2312" w:cs="仿宋_GB2312"/>
          <w:color w:val="auto"/>
          <w:lang w:eastAsia="zh-CN"/>
        </w:rPr>
        <w:t>，5家企业获得省认定。</w:t>
      </w:r>
      <w:r>
        <w:rPr>
          <w:rFonts w:hint="eastAsia" w:ascii="仿宋_GB2312" w:hAnsi="仿宋_GB2312" w:eastAsia="仿宋_GB2312" w:cs="仿宋_GB2312"/>
          <w:b/>
          <w:bCs/>
          <w:color w:val="auto"/>
          <w:lang w:val="en-US" w:eastAsia="zh-CN"/>
        </w:rPr>
        <w:t>新旧动能转化加快</w:t>
      </w:r>
      <w:r>
        <w:rPr>
          <w:rFonts w:hint="eastAsia" w:ascii="仿宋_GB2312" w:hAnsi="仿宋_GB2312" w:eastAsia="仿宋_GB2312" w:cs="仿宋_GB2312"/>
          <w:b w:val="0"/>
          <w:bCs w:val="0"/>
          <w:color w:val="auto"/>
          <w:lang w:val="en-US" w:eastAsia="zh-CN"/>
        </w:rPr>
        <w:t>，机电制造、苎麻纺织、现代森工三个全省重点成长型产业集群向产业高端化、产品精细化迈进，</w:t>
      </w:r>
      <w:r>
        <w:rPr>
          <w:rFonts w:hint="eastAsia" w:ascii="仿宋_GB2312" w:hAnsi="仿宋_GB2312" w:eastAsia="仿宋_GB2312" w:cs="仿宋_GB2312"/>
          <w:color w:val="auto"/>
        </w:rPr>
        <w:t>生物医药、汽车零部件</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电子信息</w:t>
      </w:r>
      <w:r>
        <w:rPr>
          <w:rFonts w:hint="eastAsia" w:ascii="仿宋_GB2312" w:hAnsi="仿宋_GB2312" w:eastAsia="仿宋_GB2312" w:cs="仿宋_GB2312"/>
          <w:color w:val="auto"/>
        </w:rPr>
        <w:t>三大新兴</w:t>
      </w:r>
      <w:r>
        <w:rPr>
          <w:rFonts w:hint="eastAsia" w:ascii="仿宋_GB2312" w:hAnsi="仿宋_GB2312" w:eastAsia="仿宋_GB2312" w:cs="仿宋_GB2312"/>
          <w:b w:val="0"/>
          <w:bCs w:val="0"/>
          <w:color w:val="auto"/>
          <w:lang w:val="en-US" w:eastAsia="zh-CN"/>
        </w:rPr>
        <w:t>产业发展势头强劲，敏实汽车、华劲铝业、精确新能源等项目落地投产，真奥药业成为全区首家税收过亿元的工业企业；2023年三大新兴产业总产值同比增长35.2%，拉动全区工业总产值增长3.9个百分点，</w:t>
      </w:r>
      <w:r>
        <w:rPr>
          <w:rFonts w:hint="eastAsia" w:ascii="仿宋_GB2312" w:hAnsi="仿宋_GB2312" w:eastAsia="仿宋_GB2312" w:cs="仿宋_GB2312"/>
          <w:b w:val="0"/>
          <w:bCs w:val="0"/>
          <w:color w:val="auto"/>
          <w:kern w:val="2"/>
          <w:sz w:val="32"/>
          <w:szCs w:val="32"/>
          <w:lang w:val="en-US" w:eastAsia="zh-CN" w:bidi="ar-SA"/>
        </w:rPr>
        <w:t>占规上工业总产值比重13.9%</w:t>
      </w:r>
      <w:r>
        <w:rPr>
          <w:rFonts w:hint="eastAsia" w:ascii="仿宋_GB2312" w:hAnsi="仿宋_GB2312" w:eastAsia="仿宋_GB2312" w:cs="仿宋_GB2312"/>
          <w:b w:val="0"/>
          <w:bCs w:val="0"/>
          <w:color w:val="auto"/>
          <w:lang w:val="en-US" w:eastAsia="zh-CN"/>
        </w:rPr>
        <w:t>。生物医药•咸安经济开发区获评省级新型工业化产业示范基地。</w:t>
      </w:r>
    </w:p>
    <w:p w14:paraId="782C07F9">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zh-CN"/>
        </w:rPr>
      </w:pPr>
      <w:r>
        <w:rPr>
          <w:rFonts w:hint="eastAsia" w:ascii="仿宋_GB2312" w:hAnsi="仿宋_GB2312" w:eastAsia="仿宋_GB2312" w:cs="仿宋_GB2312"/>
          <w:b/>
          <w:bCs/>
          <w:color w:val="auto"/>
          <w:lang w:val="en-US" w:eastAsia="zh-CN"/>
        </w:rPr>
        <w:t>现代服务业平稳发展。限上主体不断增加，</w:t>
      </w:r>
      <w:r>
        <w:rPr>
          <w:rFonts w:hint="eastAsia" w:ascii="仿宋_GB2312" w:hAnsi="仿宋_GB2312" w:eastAsia="仿宋_GB2312" w:cs="仿宋_GB2312"/>
          <w:b w:val="0"/>
          <w:bCs w:val="0"/>
          <w:color w:val="auto"/>
          <w:lang w:val="en-US" w:eastAsia="zh-CN"/>
        </w:rPr>
        <w:t>累计</w:t>
      </w:r>
      <w:r>
        <w:rPr>
          <w:rFonts w:hint="eastAsia" w:ascii="仿宋_GB2312" w:hAnsi="仿宋_GB2312" w:eastAsia="仿宋_GB2312" w:cs="仿宋_GB2312"/>
          <w:b w:val="0"/>
          <w:color w:val="auto"/>
          <w:kern w:val="2"/>
          <w:sz w:val="32"/>
          <w:szCs w:val="32"/>
          <w:lang w:val="en-US" w:eastAsia="zh-CN" w:bidi="ar-SA"/>
        </w:rPr>
        <w:t>净</w:t>
      </w:r>
      <w:r>
        <w:rPr>
          <w:rFonts w:hint="eastAsia" w:ascii="仿宋_GB2312" w:hAnsi="仿宋_GB2312" w:eastAsia="仿宋_GB2312" w:cs="仿宋_GB2312"/>
          <w:b w:val="0"/>
          <w:color w:val="auto"/>
          <w:kern w:val="2"/>
          <w:sz w:val="32"/>
          <w:szCs w:val="32"/>
          <w:lang w:val="zh-CN" w:eastAsia="zh-CN" w:bidi="ar-SA"/>
        </w:rPr>
        <w:t>增限上商贸企业</w:t>
      </w:r>
      <w:r>
        <w:rPr>
          <w:rFonts w:hint="eastAsia" w:ascii="仿宋_GB2312" w:hAnsi="仿宋_GB2312" w:eastAsia="仿宋_GB2312" w:cs="仿宋_GB2312"/>
          <w:b w:val="0"/>
          <w:color w:val="auto"/>
          <w:kern w:val="2"/>
          <w:sz w:val="32"/>
          <w:szCs w:val="32"/>
          <w:lang w:val="en-US" w:eastAsia="zh-CN" w:bidi="ar-SA"/>
        </w:rPr>
        <w:t>40</w:t>
      </w:r>
      <w:r>
        <w:rPr>
          <w:rFonts w:hint="eastAsia" w:ascii="仿宋_GB2312" w:hAnsi="仿宋_GB2312" w:eastAsia="仿宋_GB2312" w:cs="仿宋_GB2312"/>
          <w:b w:val="0"/>
          <w:color w:val="auto"/>
          <w:kern w:val="2"/>
          <w:sz w:val="32"/>
          <w:szCs w:val="32"/>
          <w:lang w:val="zh-CN" w:eastAsia="zh-CN" w:bidi="ar-SA"/>
        </w:rPr>
        <w:t>家、规上服务业企业</w:t>
      </w:r>
      <w:r>
        <w:rPr>
          <w:rFonts w:hint="eastAsia" w:ascii="仿宋_GB2312" w:hAnsi="仿宋_GB2312" w:eastAsia="仿宋_GB2312" w:cs="仿宋_GB2312"/>
          <w:b w:val="0"/>
          <w:color w:val="auto"/>
          <w:kern w:val="2"/>
          <w:sz w:val="32"/>
          <w:szCs w:val="32"/>
          <w:lang w:val="en-US" w:eastAsia="zh-CN" w:bidi="ar-SA"/>
        </w:rPr>
        <w:t>28</w:t>
      </w:r>
      <w:r>
        <w:rPr>
          <w:rFonts w:hint="eastAsia" w:ascii="仿宋_GB2312" w:hAnsi="仿宋_GB2312" w:eastAsia="仿宋_GB2312" w:cs="仿宋_GB2312"/>
          <w:b w:val="0"/>
          <w:color w:val="auto"/>
          <w:kern w:val="2"/>
          <w:sz w:val="32"/>
          <w:szCs w:val="32"/>
          <w:lang w:val="zh-CN" w:eastAsia="zh-CN" w:bidi="ar-SA"/>
        </w:rPr>
        <w:t>家。</w:t>
      </w:r>
      <w:r>
        <w:rPr>
          <w:rFonts w:hint="eastAsia" w:ascii="仿宋_GB2312" w:hAnsi="仿宋_GB2312" w:eastAsia="仿宋_GB2312" w:cs="仿宋_GB2312"/>
          <w:b/>
          <w:bCs/>
          <w:color w:val="auto"/>
          <w:lang w:val="en-US" w:eastAsia="zh-CN"/>
        </w:rPr>
        <w:t>大健康产业势头良好，</w:t>
      </w:r>
      <w:r>
        <w:rPr>
          <w:rFonts w:hint="eastAsia" w:ascii="仿宋_GB2312" w:hAnsi="仿宋_GB2312" w:eastAsia="仿宋_GB2312" w:cs="仿宋_GB2312"/>
          <w:b w:val="0"/>
          <w:bCs w:val="0"/>
          <w:color w:val="auto"/>
          <w:lang w:val="en-US" w:eastAsia="zh-CN"/>
        </w:rPr>
        <w:t>引进真奥药业、科莱维、健翔生物等一批生物医药项目，引进梓山湖·长岛生态文化旅游、原乡假日小镇、江南桂谷等一批康养项目，建设白水畈田园综合体、军旅小镇、潜山体育公园、大洲湖湿地公园、际华香城滑雪馆等一批文体项目等，在</w:t>
      </w:r>
      <w:r>
        <w:rPr>
          <w:rFonts w:hint="eastAsia" w:ascii="仿宋_GB2312" w:hAnsi="仿宋_GB2312" w:eastAsia="仿宋_GB2312" w:cs="仿宋_GB2312"/>
          <w:color w:val="auto"/>
          <w:lang w:val="en-US" w:eastAsia="zh-CN"/>
        </w:rPr>
        <w:t>医药</w:t>
      </w:r>
      <w:r>
        <w:rPr>
          <w:rFonts w:hint="eastAsia" w:ascii="仿宋_GB2312" w:hAnsi="仿宋_GB2312" w:eastAsia="仿宋_GB2312" w:cs="仿宋_GB2312"/>
          <w:b w:val="0"/>
          <w:bCs w:val="0"/>
          <w:color w:val="auto"/>
          <w:lang w:val="en-US" w:eastAsia="zh-CN"/>
        </w:rPr>
        <w:t>制造、康养旅游、养老服务等方面取得明显成效。</w:t>
      </w:r>
      <w:r>
        <w:rPr>
          <w:rFonts w:hint="eastAsia" w:ascii="仿宋_GB2312" w:hAnsi="仿宋_GB2312" w:eastAsia="仿宋_GB2312" w:cs="仿宋_GB2312"/>
          <w:b/>
          <w:bCs/>
          <w:color w:val="auto"/>
          <w:lang w:val="en-US" w:eastAsia="zh-CN"/>
        </w:rPr>
        <w:t>商贸街区繁荣兴盛，</w:t>
      </w:r>
      <w:r>
        <w:rPr>
          <w:rFonts w:hint="eastAsia" w:ascii="仿宋_GB2312" w:hAnsi="仿宋_GB2312" w:eastAsia="仿宋_GB2312" w:cs="仿宋_GB2312"/>
          <w:color w:val="auto"/>
          <w:lang w:val="zh-CN"/>
        </w:rPr>
        <w:t>万达广场</w:t>
      </w:r>
      <w:r>
        <w:rPr>
          <w:rFonts w:hint="eastAsia" w:ascii="仿宋_GB2312" w:hAnsi="仿宋_GB2312" w:eastAsia="仿宋_GB2312" w:cs="仿宋_GB2312"/>
          <w:color w:val="auto"/>
          <w:lang w:val="en-US" w:eastAsia="zh-CN"/>
        </w:rPr>
        <w:t>等商业街区客流旺盛，</w:t>
      </w:r>
      <w:r>
        <w:rPr>
          <w:rFonts w:hint="eastAsia" w:ascii="仿宋_GB2312" w:hAnsi="仿宋_GB2312" w:eastAsia="仿宋_GB2312" w:cs="仿宋_GB2312"/>
          <w:color w:val="auto"/>
          <w:lang w:val="zh-CN"/>
        </w:rPr>
        <w:t>海德公馆</w:t>
      </w:r>
      <w:r>
        <w:rPr>
          <w:rFonts w:hint="eastAsia" w:ascii="仿宋_GB2312" w:hAnsi="仿宋_GB2312" w:eastAsia="仿宋_GB2312" w:cs="仿宋_GB2312"/>
          <w:color w:val="auto"/>
          <w:lang w:val="en-US" w:eastAsia="zh-CN"/>
        </w:rPr>
        <w:t>商业街</w:t>
      </w:r>
      <w:r>
        <w:rPr>
          <w:rFonts w:hint="eastAsia" w:ascii="仿宋_GB2312" w:hAnsi="仿宋_GB2312" w:eastAsia="仿宋_GB2312" w:cs="仿宋_GB2312"/>
          <w:color w:val="auto"/>
          <w:lang w:val="zh-CN"/>
        </w:rPr>
        <w:t>成功获评省级繁荣夜间经济示范街区和省级商业特色街区，</w:t>
      </w:r>
      <w:r>
        <w:rPr>
          <w:rFonts w:hint="eastAsia" w:ascii="仿宋_GB2312" w:hAnsi="仿宋_GB2312" w:eastAsia="仿宋_GB2312" w:cs="仿宋_GB2312"/>
          <w:color w:val="auto"/>
          <w:lang w:val="en-US" w:eastAsia="zh-CN"/>
        </w:rPr>
        <w:t>咸宁国贸、银泰百货等商圈稳步发展</w:t>
      </w:r>
      <w:r>
        <w:rPr>
          <w:rFonts w:hint="eastAsia" w:ascii="仿宋_GB2312" w:hAnsi="仿宋_GB2312" w:eastAsia="仿宋_GB2312" w:cs="仿宋_GB2312"/>
          <w:color w:val="auto"/>
          <w:lang w:val="zh-CN"/>
        </w:rPr>
        <w:t>。</w:t>
      </w:r>
      <w:r>
        <w:rPr>
          <w:rFonts w:hint="eastAsia" w:ascii="仿宋_GB2312" w:hAnsi="仿宋_GB2312" w:eastAsia="仿宋_GB2312" w:cs="仿宋_GB2312"/>
          <w:b/>
          <w:bCs/>
          <w:color w:val="auto"/>
          <w:lang w:val="en-US" w:eastAsia="zh-CN"/>
        </w:rPr>
        <w:t>农村寄递物流实现全覆盖</w:t>
      </w:r>
      <w:r>
        <w:rPr>
          <w:rFonts w:hint="eastAsia" w:ascii="仿宋_GB2312" w:hAnsi="仿宋_GB2312" w:eastAsia="仿宋_GB2312" w:cs="仿宋_GB2312"/>
          <w:color w:val="auto"/>
          <w:lang w:val="en-US" w:eastAsia="zh-CN"/>
        </w:rPr>
        <w:t>，全省第一批开展打通农村寄递物流“最初一公里”和“最后一公里”建设试点，</w:t>
      </w:r>
      <w:r>
        <w:rPr>
          <w:rFonts w:hint="eastAsia" w:ascii="仿宋_GB2312" w:hAnsi="仿宋_GB2312" w:eastAsia="仿宋_GB2312" w:cs="仿宋_GB2312"/>
          <w:color w:val="auto"/>
          <w:lang w:val="zh-CN"/>
        </w:rPr>
        <w:t>12</w:t>
      </w: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lang w:val="zh-CN"/>
        </w:rPr>
        <w:t>个</w:t>
      </w:r>
      <w:r>
        <w:rPr>
          <w:rFonts w:hint="eastAsia" w:ascii="仿宋_GB2312" w:hAnsi="仿宋_GB2312" w:eastAsia="仿宋_GB2312" w:cs="仿宋_GB2312"/>
          <w:color w:val="auto"/>
          <w:lang w:val="en-US" w:eastAsia="zh-CN"/>
        </w:rPr>
        <w:t>行政村</w:t>
      </w:r>
      <w:r>
        <w:rPr>
          <w:rFonts w:hint="eastAsia" w:ascii="仿宋_GB2312" w:hAnsi="仿宋_GB2312" w:eastAsia="仿宋_GB2312" w:cs="仿宋_GB2312"/>
          <w:color w:val="auto"/>
          <w:lang w:val="zh-CN"/>
        </w:rPr>
        <w:t>寄递物流服务实现全覆盖。</w:t>
      </w:r>
      <w:r>
        <w:rPr>
          <w:rFonts w:hint="eastAsia" w:ascii="仿宋_GB2312" w:hAnsi="仿宋_GB2312" w:eastAsia="仿宋_GB2312" w:cs="仿宋_GB2312"/>
          <w:b/>
          <w:bCs/>
          <w:color w:val="auto"/>
          <w:lang w:val="en-US" w:eastAsia="zh-CN"/>
        </w:rPr>
        <w:t>电子商务发展迅速，</w:t>
      </w:r>
      <w:r>
        <w:rPr>
          <w:rFonts w:hint="eastAsia" w:ascii="仿宋_GB2312" w:hAnsi="仿宋_GB2312" w:eastAsia="仿宋_GB2312" w:cs="仿宋_GB2312"/>
          <w:color w:val="auto"/>
          <w:lang w:val="zh-CN"/>
        </w:rPr>
        <w:t>建成区级</w:t>
      </w:r>
      <w:r>
        <w:rPr>
          <w:rFonts w:hint="eastAsia" w:ascii="仿宋_GB2312" w:hAnsi="仿宋_GB2312" w:eastAsia="仿宋_GB2312" w:cs="仿宋_GB2312"/>
          <w:color w:val="auto"/>
          <w:lang w:val="en-US" w:eastAsia="zh-CN"/>
        </w:rPr>
        <w:t>电子商务公共服务中心</w:t>
      </w:r>
      <w:r>
        <w:rPr>
          <w:rFonts w:hint="eastAsia" w:ascii="仿宋_GB2312" w:hAnsi="仿宋_GB2312" w:eastAsia="仿宋_GB2312" w:cs="仿宋_GB2312"/>
          <w:color w:val="auto"/>
          <w:lang w:val="zh-CN"/>
        </w:rPr>
        <w:t>，</w:t>
      </w:r>
      <w:r>
        <w:rPr>
          <w:rFonts w:hint="eastAsia" w:ascii="仿宋_GB2312" w:hAnsi="仿宋_GB2312" w:eastAsia="仿宋_GB2312" w:cs="仿宋_GB2312"/>
          <w:color w:val="auto"/>
          <w:lang w:val="en-US" w:eastAsia="zh-CN"/>
        </w:rPr>
        <w:t>荣获省级电子商务示范基地；</w:t>
      </w:r>
      <w:r>
        <w:rPr>
          <w:rFonts w:hint="eastAsia" w:ascii="仿宋_GB2312" w:hAnsi="仿宋_GB2312" w:eastAsia="仿宋_GB2312" w:cs="仿宋_GB2312"/>
          <w:color w:val="auto"/>
          <w:lang w:val="zh-CN"/>
        </w:rPr>
        <w:t>成立区网商协会，整合86家电商企业入</w:t>
      </w:r>
      <w:r>
        <w:rPr>
          <w:rFonts w:hint="eastAsia" w:ascii="仿宋_GB2312" w:hAnsi="仿宋_GB2312" w:eastAsia="仿宋_GB2312" w:cs="仿宋_GB2312"/>
          <w:color w:val="auto"/>
          <w:lang w:val="en-US" w:eastAsia="zh-CN"/>
        </w:rPr>
        <w:t>会；在抖音官方平台开设“咸宁特产馆”，是经过抖音官方认证的全国第三家线上特产馆。</w:t>
      </w:r>
      <w:r>
        <w:rPr>
          <w:rFonts w:hint="eastAsia" w:ascii="仿宋_GB2312" w:hAnsi="仿宋_GB2312" w:eastAsia="仿宋_GB2312" w:cs="仿宋_GB2312"/>
          <w:b/>
          <w:bCs/>
          <w:color w:val="auto"/>
          <w:lang w:val="zh-CN"/>
        </w:rPr>
        <w:t>文旅产业欣欣向荣，</w:t>
      </w:r>
      <w:r>
        <w:rPr>
          <w:rFonts w:hint="eastAsia" w:ascii="仿宋_GB2312" w:hAnsi="仿宋_GB2312" w:eastAsia="仿宋_GB2312" w:cs="仿宋_GB2312"/>
          <w:color w:val="auto"/>
          <w:lang w:val="zh-CN"/>
        </w:rPr>
        <w:t>梓山湖松鼠部落、白水畈萝卜公社、汀泗陈家沟等景区开园迎宾，星星竹海、刘家桥入选武汉城市圈网红打卡地，高桥镇被命名为湖北旅游名镇，乡村旅游“万千百”工程加快推进，特色民宿市场反响不俗，改造建设旅游客房2446间，6道咸安特色菜荣登央视《味道》栏目。</w:t>
      </w:r>
    </w:p>
    <w:p w14:paraId="03FE53FA">
      <w:pPr>
        <w:pStyle w:val="6"/>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3" w:firstLineChars="200"/>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lang w:val="en-US" w:eastAsia="zh-CN"/>
        </w:rPr>
        <w:t>改革创新亮点频出</w:t>
      </w:r>
    </w:p>
    <w:p w14:paraId="5456656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default" w:ascii="Times New Roman" w:hAnsi="Times New Roman" w:eastAsia="仿宋_GB2312" w:cs="Times New Roman"/>
          <w:b/>
          <w:bCs/>
          <w:color w:val="auto"/>
          <w:lang w:val="en-US" w:eastAsia="zh-CN"/>
        </w:rPr>
        <w:t>创新能力不断提升</w:t>
      </w:r>
      <w:r>
        <w:rPr>
          <w:rFonts w:hint="default" w:ascii="Times New Roman" w:hAnsi="Times New Roman" w:eastAsia="仿宋_GB2312" w:cs="Times New Roman"/>
          <w:color w:val="auto"/>
          <w:lang w:val="en-US" w:eastAsia="zh-CN"/>
        </w:rPr>
        <w:t>。</w:t>
      </w:r>
      <w:r>
        <w:rPr>
          <w:rFonts w:hint="default" w:ascii="Times New Roman" w:hAnsi="Times New Roman" w:eastAsia="仿宋_GB2312" w:cs="Times New Roman"/>
          <w:b/>
          <w:bCs/>
          <w:color w:val="auto"/>
          <w:lang w:val="en-US" w:eastAsia="zh-CN"/>
        </w:rPr>
        <w:t>创新主体不断壮大，</w:t>
      </w:r>
      <w:r>
        <w:rPr>
          <w:rFonts w:hint="default" w:ascii="Times New Roman" w:hAnsi="Times New Roman" w:eastAsia="仿宋_GB2312" w:cs="Times New Roman"/>
          <w:color w:val="auto"/>
        </w:rPr>
        <w:t>高新技术企业</w:t>
      </w:r>
      <w:r>
        <w:rPr>
          <w:rFonts w:hint="eastAsia" w:ascii="仿宋_GB2312" w:hAnsi="仿宋_GB2312" w:eastAsia="仿宋_GB2312" w:cs="仿宋_GB2312"/>
          <w:color w:val="auto"/>
        </w:rPr>
        <w:t>数量</w:t>
      </w:r>
      <w:r>
        <w:rPr>
          <w:rFonts w:hint="eastAsia" w:ascii="仿宋_GB2312" w:hAnsi="仿宋_GB2312" w:eastAsia="仿宋_GB2312" w:cs="仿宋_GB2312"/>
          <w:color w:val="auto"/>
          <w:lang w:val="en-US" w:eastAsia="zh-CN"/>
        </w:rPr>
        <w:t>从2020年的49家增加到2022年的</w:t>
      </w:r>
      <w:r>
        <w:rPr>
          <w:rFonts w:hint="eastAsia" w:ascii="仿宋_GB2312" w:hAnsi="仿宋_GB2312" w:eastAsia="仿宋_GB2312" w:cs="仿宋_GB2312"/>
          <w:color w:val="auto"/>
        </w:rPr>
        <w:t>110家</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不含高新区</w:t>
      </w:r>
      <w:r>
        <w:rPr>
          <w:rFonts w:hint="eastAsia" w:ascii="仿宋_GB2312" w:hAnsi="仿宋_GB2312" w:eastAsia="仿宋_GB2312" w:cs="仿宋_GB2312"/>
          <w:color w:val="auto"/>
          <w:lang w:eastAsia="zh-CN"/>
        </w:rPr>
        <w:t>），</w:t>
      </w:r>
      <w:r>
        <w:rPr>
          <w:rStyle w:val="25"/>
          <w:rFonts w:hint="eastAsia" w:ascii="仿宋_GB2312" w:hAnsi="仿宋_GB2312" w:eastAsia="仿宋_GB2312" w:cs="仿宋_GB2312"/>
          <w:b w:val="0"/>
          <w:bCs w:val="0"/>
          <w:color w:val="auto"/>
          <w:sz w:val="32"/>
          <w:szCs w:val="32"/>
        </w:rPr>
        <w:t>净增量和总量居全市第一，</w:t>
      </w:r>
      <w:r>
        <w:rPr>
          <w:rStyle w:val="25"/>
          <w:rFonts w:hint="eastAsia" w:ascii="仿宋_GB2312" w:hAnsi="仿宋_GB2312" w:eastAsia="仿宋_GB2312" w:cs="仿宋_GB2312"/>
          <w:b w:val="0"/>
          <w:bCs w:val="0"/>
          <w:color w:val="auto"/>
          <w:sz w:val="32"/>
          <w:szCs w:val="32"/>
          <w:lang w:val="en-US"/>
        </w:rPr>
        <w:t>预计2023年将达到130家</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省级</w:t>
      </w:r>
      <w:r>
        <w:rPr>
          <w:rFonts w:hint="eastAsia" w:ascii="仿宋_GB2312" w:hAnsi="仿宋_GB2312" w:eastAsia="仿宋_GB2312" w:cs="仿宋_GB2312"/>
          <w:color w:val="auto"/>
        </w:rPr>
        <w:t>专精特新企业</w:t>
      </w:r>
      <w:r>
        <w:rPr>
          <w:rFonts w:hint="eastAsia" w:ascii="仿宋_GB2312" w:hAnsi="仿宋_GB2312" w:eastAsia="仿宋_GB2312" w:cs="仿宋_GB2312"/>
          <w:color w:val="auto"/>
          <w:lang w:val="en-US" w:eastAsia="zh-CN"/>
        </w:rPr>
        <w:t>31家，数量</w:t>
      </w:r>
      <w:r>
        <w:rPr>
          <w:rFonts w:hint="eastAsia" w:ascii="仿宋_GB2312" w:hAnsi="仿宋_GB2312" w:eastAsia="仿宋_GB2312" w:cs="仿宋_GB2312"/>
          <w:color w:val="auto"/>
        </w:rPr>
        <w:t>居全市第一</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国家级“小巨人”企业实现“零</w:t>
      </w:r>
      <w:r>
        <w:rPr>
          <w:rFonts w:hint="eastAsia" w:ascii="仿宋_GB2312" w:hAnsi="仿宋_GB2312" w:eastAsia="仿宋_GB2312" w:cs="仿宋_GB2312"/>
          <w:color w:val="auto"/>
          <w:lang w:val="en-US" w:eastAsia="zh-CN"/>
        </w:rPr>
        <w:t>的</w:t>
      </w:r>
      <w:r>
        <w:rPr>
          <w:rFonts w:hint="eastAsia" w:ascii="仿宋_GB2312" w:hAnsi="仿宋_GB2312" w:eastAsia="仿宋_GB2312" w:cs="仿宋_GB2312"/>
          <w:color w:val="auto"/>
        </w:rPr>
        <w:t>突破”</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达到2家</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精华纺织集团成功获批湖北省隐形冠军</w:t>
      </w:r>
      <w:r>
        <w:rPr>
          <w:rFonts w:hint="eastAsia" w:ascii="仿宋_GB2312" w:hAnsi="仿宋_GB2312" w:eastAsia="仿宋_GB2312" w:cs="仿宋_GB2312"/>
          <w:color w:val="auto"/>
          <w:lang w:val="en-US" w:eastAsia="zh-CN"/>
        </w:rPr>
        <w:t>企业</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华凝</w:t>
      </w:r>
      <w:r>
        <w:rPr>
          <w:rFonts w:hint="eastAsia" w:ascii="仿宋_GB2312" w:hAnsi="仿宋_GB2312" w:eastAsia="仿宋_GB2312" w:cs="仿宋_GB2312"/>
          <w:color w:val="auto"/>
        </w:rPr>
        <w:t>防腐成功申报湖北省技术创新企业</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z w:val="32"/>
          <w:szCs w:val="22"/>
        </w:rPr>
        <w:t>咸安区湖北科创“新物种”瞪羚企业11家。</w:t>
      </w:r>
      <w:r>
        <w:rPr>
          <w:rFonts w:hint="eastAsia" w:ascii="仿宋_GB2312" w:hAnsi="仿宋_GB2312" w:eastAsia="仿宋_GB2312" w:cs="仿宋_GB2312"/>
          <w:color w:val="auto"/>
          <w:spacing w:val="0"/>
          <w:sz w:val="32"/>
          <w:szCs w:val="22"/>
          <w:shd w:val="clear"/>
        </w:rPr>
        <w:t>真奥金银花、欧朗机械、敏能汽车、华宁防腐等4家企业获批湖北省智能制造试点示范企业。</w:t>
      </w:r>
      <w:r>
        <w:rPr>
          <w:rFonts w:hint="eastAsia" w:ascii="仿宋_GB2312" w:hAnsi="仿宋_GB2312" w:eastAsia="仿宋_GB2312" w:cs="仿宋_GB2312"/>
          <w:b/>
          <w:bCs/>
          <w:color w:val="auto"/>
          <w:lang w:val="en-US" w:eastAsia="zh-CN"/>
        </w:rPr>
        <w:t>创新平台不断完善</w:t>
      </w:r>
      <w:r>
        <w:rPr>
          <w:rFonts w:hint="eastAsia" w:ascii="仿宋_GB2312" w:hAnsi="仿宋_GB2312" w:eastAsia="仿宋_GB2312" w:cs="仿宋_GB2312"/>
          <w:color w:val="auto"/>
          <w:lang w:val="en-US" w:eastAsia="zh-CN"/>
        </w:rPr>
        <w:t>，累计建设创新平台109家。咸宁国家农业科技园区成功通过科技部审核验收，湖北省新型工业化产业示范基地已通过审核。</w:t>
      </w:r>
      <w:r>
        <w:rPr>
          <w:rFonts w:hint="eastAsia" w:ascii="仿宋_GB2312" w:hAnsi="仿宋_GB2312" w:eastAsia="仿宋_GB2312" w:cs="仿宋_GB2312"/>
          <w:color w:val="auto"/>
        </w:rPr>
        <w:t>培育华</w:t>
      </w:r>
      <w:r>
        <w:rPr>
          <w:rFonts w:hint="eastAsia" w:ascii="仿宋_GB2312" w:hAnsi="仿宋_GB2312" w:eastAsia="仿宋_GB2312" w:cs="仿宋_GB2312"/>
          <w:color w:val="auto"/>
          <w:lang w:val="en-US" w:eastAsia="zh-CN"/>
        </w:rPr>
        <w:t>宁</w:t>
      </w:r>
      <w:r>
        <w:rPr>
          <w:rFonts w:hint="eastAsia" w:ascii="仿宋_GB2312" w:hAnsi="仿宋_GB2312" w:eastAsia="仿宋_GB2312" w:cs="仿宋_GB2312"/>
          <w:color w:val="auto"/>
        </w:rPr>
        <w:t>防腐耐磨研究院、真奥医药研究院、康健医药研究院等一批研发平台</w:t>
      </w:r>
      <w:r>
        <w:rPr>
          <w:rFonts w:hint="eastAsia" w:ascii="仿宋_GB2312" w:hAnsi="仿宋_GB2312" w:eastAsia="仿宋_GB2312" w:cs="仿宋_GB2312"/>
          <w:color w:val="auto"/>
          <w:lang w:val="en-US" w:eastAsia="zh-CN"/>
        </w:rPr>
        <w:t>；香城文创空间获评国家级众创空间，盛通白水、舌尖百年、洪口农业3家获评省级星创天地。</w:t>
      </w:r>
    </w:p>
    <w:p w14:paraId="1A253227">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b/>
          <w:bCs/>
          <w:color w:val="auto"/>
          <w:lang w:val="en-US" w:eastAsia="zh-CN"/>
        </w:rPr>
        <w:t>创新转化卓有成效，</w:t>
      </w:r>
      <w:r>
        <w:rPr>
          <w:rFonts w:hint="eastAsia" w:ascii="仿宋_GB2312" w:hAnsi="仿宋_GB2312" w:eastAsia="仿宋_GB2312" w:cs="仿宋_GB2312"/>
          <w:color w:val="auto"/>
        </w:rPr>
        <w:t>技术合同成交额占GDP比重</w:t>
      </w:r>
      <w:r>
        <w:rPr>
          <w:rFonts w:hint="eastAsia" w:ascii="仿宋_GB2312" w:hAnsi="仿宋_GB2312" w:eastAsia="仿宋_GB2312" w:cs="仿宋_GB2312"/>
          <w:color w:val="auto"/>
          <w:lang w:val="en-US" w:eastAsia="zh-CN"/>
        </w:rPr>
        <w:t>从2020年的6.7%提升至2022年的</w:t>
      </w:r>
      <w:r>
        <w:rPr>
          <w:rFonts w:hint="eastAsia" w:ascii="仿宋_GB2312" w:hAnsi="仿宋_GB2312" w:eastAsia="仿宋_GB2312" w:cs="仿宋_GB2312"/>
          <w:color w:val="auto"/>
        </w:rPr>
        <w:t>10.33%</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b/>
          <w:bCs/>
          <w:color w:val="auto"/>
          <w:lang w:val="en-US" w:eastAsia="zh-CN"/>
        </w:rPr>
        <w:t>创新人才引进效果明显</w:t>
      </w:r>
      <w:r>
        <w:rPr>
          <w:rFonts w:hint="eastAsia" w:ascii="仿宋_GB2312" w:hAnsi="仿宋_GB2312" w:eastAsia="仿宋_GB2312" w:cs="仿宋_GB2312"/>
          <w:color w:val="auto"/>
          <w:lang w:val="en-US" w:eastAsia="zh-CN"/>
        </w:rPr>
        <w:t>，开创“区聘企用”人才引进新模式，已引进省级科技副总8人、市级科技副总9人。</w:t>
      </w:r>
      <w:r>
        <w:rPr>
          <w:rFonts w:hint="eastAsia" w:ascii="仿宋_GB2312" w:hAnsi="仿宋_GB2312" w:eastAsia="仿宋_GB2312" w:cs="仿宋_GB2312"/>
          <w:b/>
          <w:bCs/>
          <w:color w:val="auto"/>
        </w:rPr>
        <w:t>创新型县市区建设强力推进</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咸安区连续两年</w:t>
      </w:r>
      <w:r>
        <w:rPr>
          <w:rFonts w:hint="eastAsia" w:ascii="仿宋_GB2312" w:hAnsi="仿宋_GB2312" w:eastAsia="仿宋_GB2312" w:cs="仿宋_GB2312"/>
          <w:color w:val="auto"/>
          <w:lang w:eastAsia="zh-CN"/>
        </w:rPr>
        <w:t>被</w:t>
      </w:r>
      <w:r>
        <w:rPr>
          <w:rFonts w:hint="eastAsia" w:ascii="仿宋_GB2312" w:hAnsi="仿宋_GB2312" w:eastAsia="仿宋_GB2312" w:cs="仿宋_GB2312"/>
          <w:color w:val="auto"/>
        </w:rPr>
        <w:t>省委、省政府评为全省科技创新先进单位</w:t>
      </w:r>
      <w:r>
        <w:rPr>
          <w:rFonts w:hint="eastAsia" w:ascii="仿宋_GB2312" w:hAnsi="仿宋_GB2312" w:eastAsia="仿宋_GB2312" w:cs="仿宋_GB2312"/>
          <w:color w:val="auto"/>
          <w:lang w:eastAsia="zh-CN"/>
        </w:rPr>
        <w:t>。</w:t>
      </w:r>
    </w:p>
    <w:p w14:paraId="4D3A595A">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lang w:val="en-US" w:eastAsia="zh-CN"/>
        </w:rPr>
        <w:t>营商环境不断优化</w:t>
      </w:r>
      <w:r>
        <w:rPr>
          <w:rFonts w:hint="eastAsia" w:ascii="仿宋_GB2312" w:hAnsi="仿宋_GB2312" w:eastAsia="仿宋_GB2312" w:cs="仿宋_GB2312"/>
          <w:color w:val="auto"/>
          <w:lang w:val="en-US" w:eastAsia="zh-CN"/>
        </w:rPr>
        <w:t>。2021年获全省营商环境第三方评价优秀等次；推动执行案件繁简分流入选湖北省优化营商环境先行区创建试点区；让群众在“办不成事”窗口“办成事”经验登上湖北省优化营商环境简报。</w:t>
      </w:r>
      <w:r>
        <w:rPr>
          <w:rFonts w:hint="eastAsia" w:ascii="仿宋_GB2312" w:hAnsi="仿宋_GB2312" w:eastAsia="仿宋_GB2312" w:cs="仿宋_GB2312"/>
          <w:b/>
          <w:bCs/>
          <w:color w:val="auto"/>
          <w:lang w:val="en-US" w:eastAsia="zh-CN"/>
        </w:rPr>
        <w:t>政务服务更加高效，</w:t>
      </w:r>
      <w:r>
        <w:rPr>
          <w:rFonts w:hint="eastAsia" w:ascii="仿宋_GB2312" w:hAnsi="仿宋_GB2312" w:eastAsia="仿宋_GB2312" w:cs="仿宋_GB2312"/>
          <w:color w:val="auto"/>
          <w:lang w:val="en-US" w:eastAsia="zh-CN"/>
        </w:rPr>
        <w:t>发布全国首个区镇村三级政务服务体系建设地方标准，作为典型经验在全省推广；率先在全省发布资源、服务、平台“三下沉”便民服务事项清单；打造“香城代办”地域特色服务品牌；完善区域性统一评价制度，推行工业园区100%“标准地”出让，率先在全市实现“七证同发”；“一网通办”提速增效，</w:t>
      </w:r>
      <w:r>
        <w:rPr>
          <w:rFonts w:hint="eastAsia" w:ascii="仿宋_GB2312" w:hAnsi="仿宋_GB2312" w:eastAsia="仿宋_GB2312" w:cs="仿宋_GB2312"/>
          <w:color w:val="auto"/>
          <w:kern w:val="2"/>
          <w:sz w:val="32"/>
          <w:szCs w:val="22"/>
          <w:highlight w:val="none"/>
          <w:lang w:val="en-US" w:eastAsia="zh-CN" w:bidi="ar"/>
        </w:rPr>
        <w:t>实现“咸安—玉环”一件事“跨省联办”</w:t>
      </w:r>
      <w:r>
        <w:rPr>
          <w:rFonts w:hint="eastAsia" w:ascii="仿宋_GB2312" w:hAnsi="仿宋_GB2312" w:eastAsia="仿宋_GB2312" w:cs="仿宋_GB2312"/>
          <w:color w:val="auto"/>
          <w:lang w:val="en-US" w:eastAsia="zh-CN"/>
        </w:rPr>
        <w:t>，与吉安县、泰和县签订“跨域通办”协议。</w:t>
      </w:r>
      <w:r>
        <w:rPr>
          <w:rFonts w:hint="eastAsia" w:ascii="仿宋_GB2312" w:hAnsi="仿宋_GB2312" w:eastAsia="仿宋_GB2312" w:cs="仿宋_GB2312"/>
          <w:b/>
          <w:bCs/>
          <w:color w:val="auto"/>
          <w:lang w:val="en-US" w:eastAsia="zh-CN"/>
        </w:rPr>
        <w:t>市场服务更加便利，</w:t>
      </w:r>
      <w:r>
        <w:rPr>
          <w:rFonts w:hint="eastAsia" w:ascii="仿宋_GB2312" w:hAnsi="仿宋_GB2312" w:eastAsia="仿宋_GB2312" w:cs="仿宋_GB2312"/>
          <w:color w:val="auto"/>
          <w:lang w:val="en-US" w:eastAsia="zh-CN"/>
        </w:rPr>
        <w:t>推行市场主体准入前信用承诺制、告知承诺审批制、企业开办“1050”标准和个体登记“110”模式，累计新增市场主体19405家，市场主体三年存活率居全市第一。全面取消11项涉企保证金，成功打造无涉企保证金县（市、区）。</w:t>
      </w:r>
      <w:r>
        <w:rPr>
          <w:rFonts w:hint="eastAsia" w:ascii="仿宋_GB2312" w:hAnsi="仿宋_GB2312" w:eastAsia="仿宋_GB2312" w:cs="仿宋_GB2312"/>
          <w:b/>
          <w:bCs/>
          <w:color w:val="auto"/>
          <w:lang w:val="en-US" w:eastAsia="zh-CN"/>
        </w:rPr>
        <w:t>法治保障水平日益提高，</w:t>
      </w:r>
      <w:r>
        <w:rPr>
          <w:rFonts w:hint="eastAsia" w:ascii="仿宋_GB2312" w:hAnsi="仿宋_GB2312" w:eastAsia="仿宋_GB2312" w:cs="仿宋_GB2312"/>
          <w:b w:val="0"/>
          <w:bCs w:val="0"/>
          <w:color w:val="auto"/>
          <w:sz w:val="32"/>
          <w:szCs w:val="32"/>
          <w:highlight w:val="none"/>
          <w:lang w:val="en-US" w:eastAsia="zh-CN"/>
        </w:rPr>
        <w:t>市场监管领域柔性执法清单化</w:t>
      </w:r>
      <w:r>
        <w:rPr>
          <w:rStyle w:val="24"/>
          <w:rFonts w:hint="eastAsia" w:ascii="仿宋_GB2312" w:hAnsi="仿宋_GB2312" w:eastAsia="仿宋_GB2312" w:cs="仿宋_GB2312"/>
          <w:b w:val="0"/>
          <w:bCs w:val="0"/>
          <w:color w:val="auto"/>
          <w:sz w:val="32"/>
          <w:szCs w:val="32"/>
          <w:highlight w:val="none"/>
          <w:lang w:val="en-US" w:eastAsia="zh-CN"/>
        </w:rPr>
        <w:footnoteReference w:id="0"/>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color w:val="auto"/>
          <w:lang w:val="en-US" w:eastAsia="zh-CN"/>
        </w:rPr>
        <w:t>成立民营企业投诉服务中心，</w:t>
      </w:r>
      <w:r>
        <w:rPr>
          <w:rFonts w:hint="eastAsia" w:ascii="仿宋_GB2312" w:hAnsi="仿宋_GB2312" w:eastAsia="仿宋_GB2312" w:cs="仿宋_GB2312"/>
          <w:color w:val="auto"/>
          <w:sz w:val="32"/>
          <w:szCs w:val="32"/>
          <w:lang w:val="en-US" w:eastAsia="zh-CN"/>
        </w:rPr>
        <w:t>实现投诉受理全流程电子化。信用体系建设持续完善，经营异常名录、严重违法失信企业名单等制度进一步完善，全区信用乡镇覆盖率100%，不良贷款均控制在5%以下，信用村达到85%，信用户占比超过90%。</w:t>
      </w:r>
    </w:p>
    <w:p w14:paraId="48EFD07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改革攻坚不断突破。国企改革稳步推进</w:t>
      </w:r>
      <w:r>
        <w:rPr>
          <w:rFonts w:hint="eastAsia" w:ascii="仿宋_GB2312" w:hAnsi="仿宋_GB2312" w:eastAsia="仿宋_GB2312" w:cs="仿宋_GB2312"/>
          <w:color w:val="auto"/>
          <w:lang w:val="en-US" w:eastAsia="zh-CN"/>
        </w:rPr>
        <w:t>，经发集团资产总规模达到160亿元，转型发展迈出重要步伐，自我造血功能不断增强。</w:t>
      </w:r>
      <w:r>
        <w:rPr>
          <w:rFonts w:hint="eastAsia" w:ascii="仿宋_GB2312" w:hAnsi="仿宋_GB2312" w:eastAsia="仿宋_GB2312" w:cs="仿宋_GB2312"/>
          <w:b/>
          <w:bCs/>
          <w:color w:val="auto"/>
          <w:lang w:val="en-US" w:eastAsia="zh-CN"/>
        </w:rPr>
        <w:t>完善开发区体制机制</w:t>
      </w:r>
      <w:r>
        <w:rPr>
          <w:rFonts w:hint="eastAsia" w:ascii="仿宋_GB2312" w:hAnsi="仿宋_GB2312" w:eastAsia="仿宋_GB2312" w:cs="仿宋_GB2312"/>
          <w:color w:val="auto"/>
          <w:lang w:val="en-US" w:eastAsia="zh-CN"/>
        </w:rPr>
        <w:t>，园区产业承载能力不断提升，盘活开发区728亩闲置土地和3.6万平方米闲置厂房。</w:t>
      </w:r>
      <w:r>
        <w:rPr>
          <w:rFonts w:hint="eastAsia" w:ascii="仿宋_GB2312" w:hAnsi="仿宋_GB2312" w:eastAsia="仿宋_GB2312" w:cs="仿宋_GB2312"/>
          <w:b/>
          <w:bCs/>
          <w:color w:val="auto"/>
          <w:lang w:val="en-US" w:eastAsia="zh-CN"/>
        </w:rPr>
        <w:t>投融资体制改革不断深入，</w:t>
      </w:r>
      <w:r>
        <w:rPr>
          <w:rFonts w:hint="eastAsia" w:ascii="仿宋_GB2312" w:hAnsi="仿宋_GB2312" w:eastAsia="仿宋_GB2312" w:cs="仿宋_GB2312"/>
          <w:color w:val="auto"/>
          <w:lang w:val="en-US" w:eastAsia="zh-CN"/>
        </w:rPr>
        <w:t>推行“再担园区贷”“再担科创贷”和“知识产权质押贷”，缓解企业融资难题，新型政银担累计放款1.08亿元，发放“专精特新专项贷”5000万元。</w:t>
      </w:r>
      <w:r>
        <w:rPr>
          <w:rFonts w:hint="eastAsia" w:ascii="仿宋_GB2312" w:hAnsi="仿宋_GB2312" w:eastAsia="仿宋_GB2312" w:cs="仿宋_GB2312"/>
          <w:b/>
          <w:bCs/>
          <w:color w:val="auto"/>
          <w:lang w:val="en-US" w:eastAsia="zh-CN"/>
        </w:rPr>
        <w:t>农业农村改革稳步推进，</w:t>
      </w:r>
      <w:r>
        <w:rPr>
          <w:rFonts w:hint="eastAsia" w:ascii="仿宋_GB2312" w:hAnsi="仿宋_GB2312" w:eastAsia="仿宋_GB2312" w:cs="仿宋_GB2312"/>
          <w:color w:val="auto"/>
          <w:lang w:val="en-US" w:eastAsia="zh-CN"/>
        </w:rPr>
        <w:t>农村承包地确权登记颁证工作受到中央农办、农业农村部表扬，化解村级债务6551万元，在全市率先完成清零任务。农业水价综合改革试点通过省级验收。</w:t>
      </w:r>
    </w:p>
    <w:p w14:paraId="234D3A87">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对外开放不断扩大。武咸同城发展成势见效</w:t>
      </w:r>
      <w:r>
        <w:rPr>
          <w:rFonts w:hint="eastAsia" w:ascii="仿宋_GB2312" w:hAnsi="仿宋_GB2312" w:eastAsia="仿宋_GB2312" w:cs="仿宋_GB2312"/>
          <w:color w:val="auto"/>
          <w:lang w:val="en-US" w:eastAsia="zh-CN"/>
        </w:rPr>
        <w:t>，引进了敏实汽车零部件、精确新能源、华劲铝业、真奥药业、健翔生物制药等企业，融入东湖高新区生物医药和汽车制造产业链条取得初步成效；以京广综合运输通道（武汉—咸安—赤壁）、蕲嘉综合运输通道（嘉鱼—咸安—黄石）、武咸九综合运输通道（武汉—咸安—九江）等三大通道为重点，形成武咸同城化发展效应；咸安（武汉）离岸科创园实现“离岸首发”，首批9家企业已入驻签约；与武汉大学中南医院签订紧密型医疗联合体协议，与武汉优质学校成立武咸两地教研共同体。</w:t>
      </w:r>
      <w:r>
        <w:rPr>
          <w:rFonts w:hint="eastAsia" w:ascii="仿宋_GB2312" w:hAnsi="仿宋_GB2312" w:eastAsia="仿宋_GB2312" w:cs="仿宋_GB2312"/>
          <w:b/>
          <w:bCs/>
          <w:color w:val="auto"/>
          <w:lang w:val="en-US" w:eastAsia="zh-CN"/>
        </w:rPr>
        <w:t>开放型经济突破性发展</w:t>
      </w:r>
      <w:r>
        <w:rPr>
          <w:rFonts w:hint="eastAsia" w:ascii="仿宋_GB2312" w:hAnsi="仿宋_GB2312" w:eastAsia="仿宋_GB2312" w:cs="仿宋_GB2312"/>
          <w:color w:val="auto"/>
          <w:lang w:val="en-US" w:eastAsia="zh-CN"/>
        </w:rPr>
        <w:t>，2021-2023上半年，累计新增外贸出口破零企业15家、累计外贸出口额超过25亿元。新打造广州天河馆、河北张家口馆、天津馆3家对外开放窗口。咸宁东亚贸易有限公司建在阿联酋沙迦的外贸仓库，被认定为省级公共海外仓。</w:t>
      </w:r>
    </w:p>
    <w:p w14:paraId="648AD5AD">
      <w:pPr>
        <w:pStyle w:val="6"/>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3" w:firstLineChars="20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城乡面貌精彩蝶变</w:t>
      </w:r>
    </w:p>
    <w:p w14:paraId="3F20D13E">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b w:val="0"/>
          <w:bCs w:val="0"/>
          <w:color w:val="auto"/>
          <w:lang w:val="en-US" w:eastAsia="zh-CN"/>
        </w:rPr>
        <w:t>以建设自然生态公园城市为统领，城镇承载力不断提升。</w:t>
      </w:r>
      <w:r>
        <w:rPr>
          <w:rFonts w:hint="eastAsia" w:ascii="仿宋_GB2312" w:hAnsi="仿宋_GB2312" w:eastAsia="仿宋_GB2312" w:cs="仿宋_GB2312"/>
          <w:b/>
          <w:bCs/>
          <w:color w:val="auto"/>
          <w:lang w:val="en-US" w:eastAsia="zh-CN"/>
        </w:rPr>
        <w:t>城市更新稳步推进，</w:t>
      </w:r>
      <w:r>
        <w:rPr>
          <w:rFonts w:hint="eastAsia" w:ascii="仿宋_GB2312" w:hAnsi="仿宋_GB2312" w:eastAsia="仿宋_GB2312" w:cs="仿宋_GB2312"/>
          <w:b w:val="0"/>
          <w:bCs w:val="0"/>
          <w:color w:val="auto"/>
          <w:lang w:eastAsia="zh-CN"/>
        </w:rPr>
        <w:t>完成97个老旧小区改造，11个棚户区改造项目实现清零，12个城区农贸市场完成升级改造，141条背街小巷综合整治取</w:t>
      </w:r>
      <w:r>
        <w:rPr>
          <w:rFonts w:hint="eastAsia" w:ascii="仿宋_GB2312" w:hAnsi="仿宋_GB2312" w:eastAsia="仿宋_GB2312" w:cs="仿宋_GB2312"/>
          <w:b w:val="0"/>
          <w:bCs w:val="0"/>
          <w:color w:val="auto"/>
          <w:lang w:val="en-US" w:eastAsia="zh-CN"/>
        </w:rPr>
        <w:t>得</w:t>
      </w:r>
      <w:r>
        <w:rPr>
          <w:rFonts w:hint="eastAsia" w:ascii="仿宋_GB2312" w:hAnsi="仿宋_GB2312" w:eastAsia="仿宋_GB2312" w:cs="仿宋_GB2312"/>
          <w:b w:val="0"/>
          <w:bCs w:val="0"/>
          <w:color w:val="auto"/>
          <w:lang w:eastAsia="zh-CN"/>
        </w:rPr>
        <w:t>实效，洞口片区开发建设有序启动。</w:t>
      </w:r>
      <w:r>
        <w:rPr>
          <w:rFonts w:hint="eastAsia" w:ascii="仿宋_GB2312" w:hAnsi="仿宋_GB2312" w:eastAsia="仿宋_GB2312" w:cs="仿宋_GB2312"/>
          <w:b w:val="0"/>
          <w:bCs w:val="0"/>
          <w:color w:val="auto"/>
          <w:lang w:val="en-US" w:eastAsia="zh-CN"/>
        </w:rPr>
        <w:t>“一河两岸”综合整治加快推进，“湿地吧”建成投入使用；新建“口袋公园”7个。中国桂花城品牌持续擦亮，打造植桂添香示范点59个。</w:t>
      </w:r>
      <w:r>
        <w:rPr>
          <w:rFonts w:hint="eastAsia" w:ascii="仿宋_GB2312" w:hAnsi="仿宋_GB2312" w:eastAsia="仿宋_GB2312" w:cs="仿宋_GB2312"/>
          <w:b/>
          <w:bCs/>
          <w:color w:val="auto"/>
        </w:rPr>
        <w:t>市政设施日趋完善</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金桂路、银桂路、银泉大道等15条城区道路完成市政设施升级改造，咸宁火车站站前广场</w:t>
      </w:r>
      <w:r>
        <w:rPr>
          <w:rFonts w:hint="eastAsia" w:ascii="仿宋_GB2312" w:hAnsi="仿宋_GB2312" w:eastAsia="仿宋_GB2312" w:cs="仿宋_GB2312"/>
          <w:color w:val="auto"/>
          <w:lang w:val="en-US" w:eastAsia="zh-CN"/>
        </w:rPr>
        <w:t>实现提档升级</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新增停车泊位2772个</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城区供水普及率、燃气普及率、污水处理率</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垃圾分类覆盖率</w:t>
      </w:r>
      <w:r>
        <w:rPr>
          <w:rFonts w:hint="eastAsia" w:ascii="仿宋_GB2312" w:hAnsi="仿宋_GB2312" w:eastAsia="仿宋_GB2312" w:cs="仿宋_GB2312"/>
          <w:color w:val="auto"/>
        </w:rPr>
        <w:t>分别达到98.6%、99%、95.8%</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93%</w:t>
      </w:r>
      <w:r>
        <w:rPr>
          <w:rFonts w:hint="eastAsia" w:ascii="仿宋_GB2312" w:hAnsi="仿宋_GB2312" w:eastAsia="仿宋_GB2312" w:cs="仿宋_GB2312"/>
          <w:b/>
          <w:bCs/>
          <w:color w:val="auto"/>
          <w:lang w:val="en-US" w:eastAsia="zh-CN"/>
        </w:rPr>
        <w:t>。城市管理更加精细，</w:t>
      </w:r>
      <w:r>
        <w:rPr>
          <w:rFonts w:hint="eastAsia" w:ascii="仿宋_GB2312" w:hAnsi="仿宋_GB2312" w:eastAsia="仿宋_GB2312" w:cs="仿宋_GB2312"/>
          <w:color w:val="auto"/>
        </w:rPr>
        <w:t>完成15个智慧小区建设，778个小区红色物业实现全覆盖，5个社区</w:t>
      </w:r>
      <w:r>
        <w:rPr>
          <w:rFonts w:hint="eastAsia" w:ascii="仿宋_GB2312" w:hAnsi="仿宋_GB2312" w:eastAsia="仿宋_GB2312" w:cs="仿宋_GB2312"/>
          <w:color w:val="auto"/>
          <w:lang w:val="en-US" w:eastAsia="zh-CN"/>
        </w:rPr>
        <w:t>被</w:t>
      </w:r>
      <w:r>
        <w:rPr>
          <w:rFonts w:hint="eastAsia" w:ascii="仿宋_GB2312" w:hAnsi="仿宋_GB2312" w:eastAsia="仿宋_GB2312" w:cs="仿宋_GB2312"/>
          <w:color w:val="auto"/>
        </w:rPr>
        <w:t>省住建厅、省民政厅确定为完整社区试点单位</w:t>
      </w:r>
      <w:r>
        <w:rPr>
          <w:rFonts w:hint="eastAsia" w:ascii="仿宋_GB2312" w:hAnsi="仿宋_GB2312" w:eastAsia="仿宋_GB2312" w:cs="仿宋_GB2312"/>
          <w:color w:val="auto"/>
          <w:lang w:eastAsia="zh-CN"/>
        </w:rPr>
        <w:t>，南昌路社区入选住建部第二批完整社区案例</w:t>
      </w:r>
      <w:r>
        <w:rPr>
          <w:rFonts w:hint="eastAsia" w:ascii="仿宋_GB2312" w:hAnsi="仿宋_GB2312" w:eastAsia="仿宋_GB2312" w:cs="仿宋_GB2312"/>
          <w:color w:val="auto"/>
        </w:rPr>
        <w:t>。</w:t>
      </w:r>
      <w:r>
        <w:rPr>
          <w:rFonts w:hint="eastAsia" w:ascii="仿宋_GB2312" w:hAnsi="仿宋_GB2312" w:eastAsia="仿宋_GB2312" w:cs="仿宋_GB2312"/>
          <w:b/>
          <w:bCs/>
          <w:color w:val="auto"/>
        </w:rPr>
        <w:t>人口集聚功能增强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2022年常住人口城镇化率为74.51%，较2020年累计提高4.71个百分点。</w:t>
      </w:r>
    </w:p>
    <w:p w14:paraId="3E453E9B">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b/>
          <w:bCs/>
          <w:color w:val="auto"/>
          <w:lang w:eastAsia="zh-CN"/>
        </w:rPr>
        <w:t>城镇建设提档升级</w:t>
      </w:r>
      <w:r>
        <w:rPr>
          <w:rFonts w:hint="eastAsia" w:ascii="仿宋_GB2312" w:hAnsi="仿宋_GB2312" w:eastAsia="仿宋_GB2312" w:cs="仿宋_GB2312"/>
          <w:color w:val="auto"/>
          <w:lang w:eastAsia="zh-CN"/>
        </w:rPr>
        <w:t>。全市“擦亮小城镇”建设美丽城镇现场会在咸安召开，汀泗、向阳湖、官埠入选全市示范型“美丽城镇”，双溪、高桥入选基础型“美丽城镇”。创建省级森林城镇2个。</w:t>
      </w:r>
      <w:r>
        <w:rPr>
          <w:rFonts w:hint="eastAsia" w:ascii="仿宋_GB2312" w:hAnsi="仿宋_GB2312" w:eastAsia="仿宋_GB2312" w:cs="仿宋_GB2312"/>
          <w:b w:val="0"/>
          <w:bCs w:val="0"/>
          <w:color w:val="auto"/>
          <w:lang w:eastAsia="zh-CN"/>
        </w:rPr>
        <w:t>官埠城乡融合发展试验区、梓山湖大健康产业示范区初具规模，</w:t>
      </w:r>
      <w:r>
        <w:rPr>
          <w:rFonts w:hint="eastAsia" w:ascii="仿宋_GB2312" w:hAnsi="仿宋_GB2312" w:eastAsia="仿宋_GB2312" w:cs="仿宋_GB2312"/>
          <w:color w:val="auto"/>
        </w:rPr>
        <w:t>6个乡镇污水处理厂</w:t>
      </w:r>
      <w:r>
        <w:rPr>
          <w:rFonts w:hint="eastAsia" w:ascii="仿宋_GB2312" w:hAnsi="仿宋_GB2312" w:eastAsia="仿宋_GB2312" w:cs="仿宋_GB2312"/>
          <w:color w:val="auto"/>
          <w:lang w:val="en-US" w:eastAsia="zh-CN"/>
        </w:rPr>
        <w:t>和咸安经开区污水处理厂</w:t>
      </w:r>
      <w:r>
        <w:rPr>
          <w:rFonts w:hint="eastAsia" w:ascii="仿宋_GB2312" w:hAnsi="仿宋_GB2312" w:eastAsia="仿宋_GB2312" w:cs="仿宋_GB2312"/>
          <w:color w:val="auto"/>
        </w:rPr>
        <w:t>稳定运行，建</w:t>
      </w:r>
      <w:r>
        <w:rPr>
          <w:rFonts w:hint="eastAsia" w:ascii="仿宋_GB2312" w:hAnsi="仿宋_GB2312" w:eastAsia="仿宋_GB2312" w:cs="仿宋_GB2312"/>
          <w:color w:val="auto"/>
          <w:lang w:val="en-US" w:eastAsia="zh-CN"/>
        </w:rPr>
        <w:t>成</w:t>
      </w:r>
      <w:r>
        <w:rPr>
          <w:rFonts w:hint="eastAsia" w:ascii="仿宋_GB2312" w:hAnsi="仿宋_GB2312" w:eastAsia="仿宋_GB2312" w:cs="仿宋_GB2312"/>
          <w:color w:val="auto"/>
        </w:rPr>
        <w:t>10个乡镇餐厨垃圾处理站</w:t>
      </w:r>
      <w:r>
        <w:rPr>
          <w:rFonts w:hint="eastAsia" w:ascii="仿宋_GB2312" w:hAnsi="仿宋_GB2312" w:eastAsia="仿宋_GB2312" w:cs="仿宋_GB2312"/>
          <w:color w:val="auto"/>
          <w:lang w:eastAsia="zh-CN"/>
        </w:rPr>
        <w:t>。</w:t>
      </w:r>
    </w:p>
    <w:p w14:paraId="2C85E34B">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rPr>
        <w:t>乡村</w:t>
      </w:r>
      <w:r>
        <w:rPr>
          <w:rFonts w:hint="eastAsia" w:ascii="仿宋_GB2312" w:hAnsi="仿宋_GB2312" w:eastAsia="仿宋_GB2312" w:cs="仿宋_GB2312"/>
          <w:b/>
          <w:bCs/>
          <w:color w:val="auto"/>
          <w:lang w:val="en-US" w:eastAsia="zh-CN"/>
        </w:rPr>
        <w:t>振兴稳步推进。脱贫攻坚成果持续巩固，</w:t>
      </w:r>
      <w:r>
        <w:rPr>
          <w:rFonts w:hint="eastAsia" w:ascii="仿宋_GB2312" w:hAnsi="仿宋_GB2312" w:eastAsia="仿宋_GB2312" w:cs="仿宋_GB2312"/>
          <w:color w:val="auto"/>
          <w:lang w:val="en-US" w:eastAsia="zh-CN"/>
        </w:rPr>
        <w:t>制定《咸安区巩固拓展脱贫攻坚成果产业扶持因户施策试行办法（2021-2023）》《咸安区关于加快推进扶贫项目资产后续管理的实施方案》等文件，</w:t>
      </w:r>
      <w:r>
        <w:rPr>
          <w:rFonts w:hint="eastAsia" w:ascii="仿宋_GB2312" w:hAnsi="仿宋_GB2312" w:eastAsia="仿宋_GB2312" w:cs="仿宋_GB2312"/>
          <w:color w:val="auto"/>
        </w:rPr>
        <w:t>完善防止返贫动态监测和帮扶机制，大力推进产业发展和稳岗就业，强化乡村基础设施补短板建设，做好易地扶贫搬迁后续扶持，巩固拓展脱贫攻坚成果同乡村振兴有效衔接。</w:t>
      </w:r>
      <w:r>
        <w:rPr>
          <w:rFonts w:hint="eastAsia" w:ascii="仿宋_GB2312" w:hAnsi="仿宋_GB2312" w:eastAsia="仿宋_GB2312" w:cs="仿宋_GB2312"/>
          <w:b/>
          <w:bCs/>
          <w:color w:val="auto"/>
          <w:lang w:val="en-US" w:eastAsia="zh-CN"/>
        </w:rPr>
        <w:t>乡村人居环境稳步提升，</w:t>
      </w:r>
      <w:r>
        <w:rPr>
          <w:rFonts w:hint="eastAsia" w:ascii="仿宋_GB2312" w:hAnsi="仿宋_GB2312" w:eastAsia="仿宋_GB2312" w:cs="仿宋_GB2312"/>
          <w:color w:val="auto"/>
        </w:rPr>
        <w:t>完成92个村庄规划编制</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30个省级美丽乡村建设通过验收</w:t>
      </w:r>
      <w:r>
        <w:rPr>
          <w:rFonts w:hint="eastAsia" w:ascii="仿宋_GB2312" w:hAnsi="仿宋_GB2312" w:eastAsia="仿宋_GB2312" w:cs="仿宋_GB2312"/>
          <w:color w:val="auto"/>
          <w:lang w:eastAsia="zh-CN"/>
        </w:rPr>
        <w:t>。农村</w:t>
      </w:r>
      <w:r>
        <w:rPr>
          <w:rFonts w:hint="eastAsia" w:ascii="仿宋_GB2312" w:hAnsi="仿宋_GB2312" w:eastAsia="仿宋_GB2312" w:cs="仿宋_GB2312"/>
          <w:color w:val="auto"/>
        </w:rPr>
        <w:t>厕所粪污基本得到处理，资源化利用率达到60%以上，农村生活污水治理率达到34.4%</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创建省级森林乡村6个</w:t>
      </w:r>
      <w:r>
        <w:rPr>
          <w:rFonts w:hint="eastAsia" w:ascii="仿宋_GB2312" w:hAnsi="仿宋_GB2312" w:eastAsia="仿宋_GB2312" w:cs="仿宋_GB2312"/>
          <w:color w:val="auto"/>
          <w:lang w:eastAsia="zh-CN"/>
        </w:rPr>
        <w:t>。</w:t>
      </w:r>
      <w:r>
        <w:rPr>
          <w:rFonts w:hint="eastAsia" w:ascii="仿宋_GB2312" w:hAnsi="仿宋_GB2312" w:eastAsia="仿宋_GB2312" w:cs="仿宋_GB2312"/>
          <w:b/>
          <w:bCs/>
          <w:color w:val="auto"/>
          <w:lang w:val="en-US" w:eastAsia="zh-CN"/>
        </w:rPr>
        <w:t>乡村振兴示范点建设有效</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rPr>
        <w:t>巩固提升马桥建国畈油菜花海等乡村</w:t>
      </w:r>
      <w:r>
        <w:rPr>
          <w:rFonts w:hint="default" w:ascii="Times New Roman" w:hAnsi="Times New Roman" w:eastAsia="仿宋_GB2312" w:cs="Times New Roman"/>
          <w:color w:val="auto"/>
        </w:rPr>
        <w:t>振兴示</w:t>
      </w:r>
      <w:r>
        <w:rPr>
          <w:rFonts w:hint="eastAsia" w:ascii="仿宋_GB2312" w:hAnsi="仿宋_GB2312" w:eastAsia="仿宋_GB2312" w:cs="仿宋_GB2312"/>
          <w:color w:val="auto"/>
        </w:rPr>
        <w:t>范点，新建九彬</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rPr>
        <w:t>三桥绿色农业产业带等乡村振兴示范点</w:t>
      </w:r>
      <w:r>
        <w:rPr>
          <w:rFonts w:hint="eastAsia" w:ascii="仿宋_GB2312" w:hAnsi="仿宋_GB2312" w:eastAsia="仿宋_GB2312" w:cs="仿宋_GB2312"/>
          <w:color w:val="auto"/>
          <w:lang w:val="en-US" w:eastAsia="zh-CN"/>
        </w:rPr>
        <w:t>14</w:t>
      </w:r>
      <w:r>
        <w:rPr>
          <w:rFonts w:hint="eastAsia" w:ascii="仿宋_GB2312" w:hAnsi="仿宋_GB2312" w:eastAsia="仿宋_GB2312" w:cs="仿宋_GB2312"/>
          <w:color w:val="auto"/>
        </w:rPr>
        <w:t>个</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打造</w:t>
      </w:r>
      <w:r>
        <w:rPr>
          <w:rFonts w:hint="eastAsia" w:ascii="仿宋_GB2312" w:hAnsi="仿宋_GB2312" w:eastAsia="仿宋_GB2312" w:cs="仿宋_GB2312"/>
          <w:color w:val="auto"/>
        </w:rPr>
        <w:t>双溪高铺村、大幕井头村等17个共同缔造示范点</w:t>
      </w:r>
      <w:r>
        <w:rPr>
          <w:rFonts w:hint="eastAsia" w:ascii="仿宋_GB2312" w:hAnsi="仿宋_GB2312" w:eastAsia="仿宋_GB2312" w:cs="仿宋_GB2312"/>
          <w:color w:val="auto"/>
          <w:lang w:eastAsia="zh-CN"/>
        </w:rPr>
        <w:t>。</w:t>
      </w:r>
    </w:p>
    <w:p w14:paraId="20E8AE51">
      <w:pPr>
        <w:pStyle w:val="6"/>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3" w:firstLineChars="200"/>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基础设施不断完善</w:t>
      </w:r>
    </w:p>
    <w:p w14:paraId="5AAEDF1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bCs/>
          <w:color w:val="auto"/>
          <w:lang w:val="en-US" w:eastAsia="zh-CN"/>
        </w:rPr>
        <w:t>立体化交通格局基本形成</w:t>
      </w:r>
      <w:r>
        <w:rPr>
          <w:rFonts w:hint="eastAsia" w:ascii="仿宋_GB2312" w:hAnsi="仿宋_GB2312" w:eastAsia="仿宋_GB2312" w:cs="仿宋_GB2312"/>
          <w:b w:val="0"/>
          <w:bCs w:val="0"/>
          <w:color w:val="auto"/>
          <w:lang w:val="en-US" w:eastAsia="zh-CN"/>
        </w:rPr>
        <w:t>。实施交通项目61个，完成交通投资28亿元，S208、S360、S356改扩建一期、香城大道综合改造一期等项目完工；中城路建成通车；</w:t>
      </w:r>
      <w:r>
        <w:rPr>
          <w:rFonts w:hint="eastAsia" w:ascii="仿宋_GB2312" w:hAnsi="仿宋_GB2312" w:eastAsia="仿宋_GB2312" w:cs="仿宋_GB2312"/>
          <w:color w:val="auto"/>
          <w:sz w:val="32"/>
          <w:szCs w:val="32"/>
          <w:lang w:val="en-US" w:eastAsia="zh-CN"/>
        </w:rPr>
        <w:t>提档升级“四好农村路”505公里，全区公路总里程达到3039公里</w:t>
      </w:r>
      <w:r>
        <w:rPr>
          <w:rFonts w:hint="eastAsia" w:ascii="仿宋_GB2312" w:hAnsi="仿宋_GB2312" w:eastAsia="仿宋_GB2312" w:cs="仿宋_GB2312"/>
          <w:b w:val="0"/>
          <w:bCs w:val="0"/>
          <w:color w:val="auto"/>
          <w:lang w:val="en-US" w:eastAsia="zh-CN"/>
        </w:rPr>
        <w:t>，通达乡镇政府所在地公路均达到二级标准以上，国省道二级及以上标准比例达到99.52%。全区形成“三横六纵一环”公路立体化格局，对内形成中心城区通达乡镇“二十分钟交通经济圈”，对外形成中心城区通达武汉城市圈和周边市州“两小时交通经济圈”。</w:t>
      </w:r>
      <w:r>
        <w:rPr>
          <w:rFonts w:hint="eastAsia" w:ascii="仿宋_GB2312" w:hAnsi="仿宋_GB2312" w:eastAsia="仿宋_GB2312" w:cs="仿宋_GB2312"/>
          <w:color w:val="auto"/>
          <w:sz w:val="32"/>
          <w:szCs w:val="32"/>
          <w:lang w:val="en-US" w:eastAsia="zh-CN"/>
        </w:rPr>
        <w:t>咸安区获评2021年度全国“四好农村路”示范县</w:t>
      </w:r>
      <w:r>
        <w:rPr>
          <w:rFonts w:hint="eastAsia" w:ascii="仿宋_GB2312" w:hAnsi="仿宋_GB2312" w:eastAsia="仿宋_GB2312" w:cs="仿宋_GB2312"/>
          <w:b w:val="0"/>
          <w:bCs w:val="0"/>
          <w:color w:val="auto"/>
          <w:lang w:val="en-US" w:eastAsia="zh-CN"/>
        </w:rPr>
        <w:t>。</w:t>
      </w:r>
    </w:p>
    <w:p w14:paraId="10FE9EE5">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b w:val="0"/>
          <w:bCs w:val="0"/>
          <w:color w:val="auto"/>
          <w:lang w:val="en-US" w:eastAsia="zh-CN"/>
        </w:rPr>
      </w:pPr>
      <w:r>
        <w:rPr>
          <w:rFonts w:hint="default" w:ascii="Times New Roman" w:hAnsi="Times New Roman" w:eastAsia="仿宋_GB2312" w:cs="Times New Roman"/>
          <w:b/>
          <w:bCs/>
          <w:color w:val="auto"/>
          <w:lang w:val="en-US" w:eastAsia="zh-CN"/>
        </w:rPr>
        <w:t>水利保障能力全面提升</w:t>
      </w:r>
      <w:r>
        <w:rPr>
          <w:rFonts w:hint="eastAsia" w:ascii="仿宋_GB2312" w:hAnsi="仿宋_GB2312" w:eastAsia="仿宋_GB2312" w:cs="仿宋_GB2312"/>
          <w:b w:val="0"/>
          <w:bCs w:val="0"/>
          <w:color w:val="auto"/>
          <w:lang w:val="en-US" w:eastAsia="zh-CN"/>
        </w:rPr>
        <w:t>。实施水利工程29个，累计总投资10.43亿元，防洪减灾、民生水利、水资源综合开发利用水平不断提高。</w:t>
      </w:r>
      <w:r>
        <w:rPr>
          <w:rFonts w:hint="eastAsia" w:ascii="仿宋_GB2312" w:hAnsi="仿宋_GB2312" w:eastAsia="仿宋_GB2312" w:cs="仿宋_GB2312"/>
          <w:b/>
          <w:bCs/>
          <w:color w:val="auto"/>
          <w:lang w:val="en-US" w:eastAsia="zh-CN"/>
        </w:rPr>
        <w:t>防洪能力进一步提升，</w:t>
      </w:r>
      <w:r>
        <w:rPr>
          <w:rFonts w:hint="eastAsia" w:ascii="仿宋_GB2312" w:hAnsi="仿宋_GB2312" w:eastAsia="仿宋_GB2312" w:cs="仿宋_GB2312"/>
          <w:b w:val="0"/>
          <w:bCs w:val="0"/>
          <w:color w:val="auto"/>
          <w:lang w:val="en-US" w:eastAsia="zh-CN"/>
        </w:rPr>
        <w:t>淦河、高桥河、汀泗河等中小河流系统治理工程</w:t>
      </w:r>
      <w:r>
        <w:rPr>
          <w:rFonts w:hint="eastAsia" w:ascii="仿宋_GB2312" w:hAnsi="仿宋_GB2312" w:eastAsia="仿宋_GB2312" w:cs="仿宋_GB2312"/>
          <w:color w:val="auto"/>
          <w:lang w:val="en-US" w:eastAsia="zh-CN"/>
        </w:rPr>
        <w:t>稳步</w:t>
      </w:r>
      <w:r>
        <w:rPr>
          <w:rFonts w:hint="eastAsia" w:ascii="仿宋_GB2312" w:hAnsi="仿宋_GB2312" w:eastAsia="仿宋_GB2312" w:cs="仿宋_GB2312"/>
          <w:b w:val="0"/>
          <w:bCs w:val="0"/>
          <w:color w:val="auto"/>
          <w:lang w:val="en-US" w:eastAsia="zh-CN"/>
        </w:rPr>
        <w:t>推进，实施王下垅、鸣水泉、胡叶、唐斗山、杨塘渡等5座小型病险水库除险加固，完成三峡后续工作长江中下游影响处理咸安段河道整治工程。</w:t>
      </w:r>
      <w:r>
        <w:rPr>
          <w:rFonts w:hint="eastAsia" w:ascii="仿宋_GB2312" w:hAnsi="仿宋_GB2312" w:eastAsia="仿宋_GB2312" w:cs="仿宋_GB2312"/>
          <w:b/>
          <w:bCs/>
          <w:color w:val="auto"/>
          <w:lang w:val="en-US" w:eastAsia="zh-CN"/>
        </w:rPr>
        <w:t>用水保障进一步巩固，</w:t>
      </w:r>
      <w:r>
        <w:rPr>
          <w:rFonts w:hint="eastAsia" w:ascii="仿宋_GB2312" w:hAnsi="仿宋_GB2312" w:eastAsia="仿宋_GB2312" w:cs="仿宋_GB2312"/>
          <w:b w:val="0"/>
          <w:bCs w:val="0"/>
          <w:color w:val="auto"/>
          <w:lang w:val="en-US" w:eastAsia="zh-CN"/>
        </w:rPr>
        <w:t>实施农村饮水巩固提升工程、思源水厂改扩建工程、应急备用水源工程，农村饮水和用水安全进一步夯实，农村自来水普及率达97.45%，区水利和湖泊局被评为全省农村饮水安全工作成绩突出集体。</w:t>
      </w:r>
      <w:r>
        <w:rPr>
          <w:rFonts w:hint="eastAsia" w:ascii="仿宋_GB2312" w:hAnsi="仿宋_GB2312" w:eastAsia="仿宋_GB2312" w:cs="仿宋_GB2312"/>
          <w:b/>
          <w:bCs/>
          <w:color w:val="auto"/>
          <w:lang w:val="en-US" w:eastAsia="zh-CN"/>
        </w:rPr>
        <w:t>水利信息化水平进一步提高，</w:t>
      </w:r>
      <w:r>
        <w:rPr>
          <w:rFonts w:hint="eastAsia" w:ascii="仿宋_GB2312" w:hAnsi="仿宋_GB2312" w:eastAsia="仿宋_GB2312" w:cs="仿宋_GB2312"/>
          <w:b w:val="0"/>
          <w:bCs w:val="0"/>
          <w:color w:val="auto"/>
          <w:lang w:val="en-US" w:eastAsia="zh-CN"/>
        </w:rPr>
        <w:t>实施小型水库雨水情测报和大坝安全监</w:t>
      </w:r>
      <w:r>
        <w:rPr>
          <w:rFonts w:hint="default" w:ascii="Times New Roman" w:hAnsi="Times New Roman" w:eastAsia="仿宋_GB2312" w:cs="Times New Roman"/>
          <w:b w:val="0"/>
          <w:bCs w:val="0"/>
          <w:color w:val="auto"/>
          <w:lang w:val="en-US" w:eastAsia="zh-CN"/>
        </w:rPr>
        <w:t>测设施建设与运行管理项目，水利设施智慧化预警水平大幅提升。</w:t>
      </w:r>
      <w:r>
        <w:rPr>
          <w:rFonts w:hint="default" w:ascii="Times New Roman" w:hAnsi="Times New Roman" w:eastAsia="仿宋_GB2312" w:cs="Times New Roman"/>
          <w:b/>
          <w:bCs/>
          <w:color w:val="auto"/>
          <w:lang w:val="en-US" w:eastAsia="zh-CN"/>
        </w:rPr>
        <w:t>水利改革有序进行</w:t>
      </w:r>
      <w:r>
        <w:rPr>
          <w:rFonts w:hint="default" w:ascii="Times New Roman" w:hAnsi="Times New Roman" w:eastAsia="仿宋_GB2312" w:cs="Times New Roman"/>
          <w:b w:val="0"/>
          <w:bCs w:val="0"/>
          <w:color w:val="auto"/>
          <w:lang w:val="en-US" w:eastAsia="zh-CN"/>
        </w:rPr>
        <w:t>，全面推行河湖长制工作，落实最严格水资源管理制度，开展水生态文明城市和节水型社会建设，强化水政执法，全区水利事业逐步从重建设转向强监管。</w:t>
      </w:r>
    </w:p>
    <w:p w14:paraId="224175C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lang w:val="en-US" w:eastAsia="zh-CN"/>
        </w:rPr>
      </w:pPr>
      <w:r>
        <w:rPr>
          <w:rFonts w:hint="default" w:ascii="Times New Roman" w:hAnsi="Times New Roman" w:eastAsia="仿宋_GB2312" w:cs="Times New Roman"/>
          <w:b/>
          <w:bCs/>
          <w:color w:val="auto"/>
          <w:lang w:val="en-US" w:eastAsia="zh-CN"/>
        </w:rPr>
        <w:t>能源保障能力显著增强。</w:t>
      </w:r>
      <w:r>
        <w:rPr>
          <w:rFonts w:hint="eastAsia" w:ascii="仿宋_GB2312" w:hAnsi="仿宋_GB2312" w:eastAsia="仿宋_GB2312" w:cs="仿宋_GB2312"/>
          <w:b w:val="0"/>
          <w:bCs w:val="0"/>
          <w:color w:val="auto"/>
          <w:lang w:val="en-US" w:eastAsia="zh-CN"/>
        </w:rPr>
        <w:t>开展新一批农村配电网建设与改造工程，农村电力保障进一步夯实。</w:t>
      </w:r>
      <w:r>
        <w:rPr>
          <w:rFonts w:hint="eastAsia" w:ascii="仿宋_GB2312" w:hAnsi="仿宋_GB2312" w:eastAsia="仿宋_GB2312" w:cs="仿宋_GB2312"/>
          <w:color w:val="auto"/>
          <w:lang w:val="en-US" w:eastAsia="zh-CN"/>
        </w:rPr>
        <w:t>城市燃气管道更新改造快速推进，</w:t>
      </w:r>
      <w:r>
        <w:rPr>
          <w:rFonts w:hint="eastAsia" w:ascii="仿宋_GB2312" w:hAnsi="仿宋_GB2312" w:eastAsia="仿宋_GB2312" w:cs="仿宋_GB2312"/>
          <w:b w:val="0"/>
          <w:bCs w:val="0"/>
          <w:color w:val="auto"/>
          <w:lang w:val="en-US" w:eastAsia="zh-CN"/>
        </w:rPr>
        <w:t>城区燃气普及率达到99%；</w:t>
      </w:r>
      <w:r>
        <w:rPr>
          <w:rFonts w:hint="eastAsia" w:ascii="仿宋_GB2312" w:hAnsi="仿宋_GB2312" w:eastAsia="仿宋_GB2312" w:cs="仿宋_GB2312"/>
          <w:color w:val="auto"/>
          <w:lang w:val="en-US" w:eastAsia="zh-CN"/>
        </w:rPr>
        <w:t>气化乡镇稳步实施，汀泗桥镇等6个乡镇已开通管道燃气，双溪桥镇燃气管道正在建设。中电建白云山风电场项目已正式并网发电，中广核向阳湖镇宝塔80兆瓦、华能星泽黄荆塘150兆瓦渔光互补项目稳步推进</w:t>
      </w:r>
      <w:r>
        <w:rPr>
          <w:rFonts w:hint="eastAsia" w:ascii="仿宋_GB2312" w:hAnsi="仿宋_GB2312" w:eastAsia="仿宋_GB2312" w:cs="仿宋_GB2312"/>
          <w:b w:val="0"/>
          <w:bCs w:val="0"/>
          <w:color w:val="auto"/>
          <w:lang w:val="en-US" w:eastAsia="zh-CN"/>
        </w:rPr>
        <w:t>，分布式光伏发电同步实施。</w:t>
      </w:r>
    </w:p>
    <w:p w14:paraId="0E143CCB">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default" w:ascii="Times New Roman" w:hAnsi="Times New Roman" w:eastAsia="仿宋_GB2312" w:cs="Times New Roman"/>
          <w:b/>
          <w:bCs/>
          <w:color w:val="auto"/>
          <w:lang w:val="en-US" w:eastAsia="zh-CN"/>
        </w:rPr>
        <w:t>新型基础设施建设加快</w:t>
      </w:r>
      <w:r>
        <w:rPr>
          <w:rFonts w:hint="default" w:ascii="Times New Roman" w:hAnsi="Times New Roman" w:eastAsia="仿宋_GB2312" w:cs="Times New Roman"/>
          <w:color w:val="auto"/>
          <w:lang w:val="en-US" w:eastAsia="zh-CN"/>
        </w:rPr>
        <w:t>。</w:t>
      </w:r>
      <w:r>
        <w:rPr>
          <w:rFonts w:hint="eastAsia" w:ascii="仿宋_GB2312" w:hAnsi="仿宋_GB2312" w:eastAsia="仿宋_GB2312" w:cs="仿宋_GB2312"/>
          <w:color w:val="auto"/>
          <w:lang w:val="en-US" w:eastAsia="zh-CN"/>
        </w:rPr>
        <w:t>5G基站已建设完工1897座，实现城区5G信号全覆盖。数字乡村建设有力推进，乡镇5G覆盖率达到90%，大幕乡数字乡村平台入选“全国数字乡村500强示范标杆”。</w:t>
      </w:r>
    </w:p>
    <w:p w14:paraId="2AD7DA27">
      <w:pPr>
        <w:pStyle w:val="6"/>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3" w:firstLineChars="200"/>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生态优势持续巩固</w:t>
      </w:r>
    </w:p>
    <w:p w14:paraId="1C61C348">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eastAsia="zh-CN"/>
        </w:rPr>
      </w:pPr>
      <w:r>
        <w:rPr>
          <w:rFonts w:hint="default" w:ascii="Times New Roman" w:hAnsi="Times New Roman" w:eastAsia="仿宋_GB2312" w:cs="Times New Roman"/>
          <w:b/>
          <w:bCs/>
          <w:color w:val="auto"/>
        </w:rPr>
        <w:t>污染防治扎实推进</w:t>
      </w:r>
      <w:r>
        <w:rPr>
          <w:rFonts w:hint="default" w:ascii="Times New Roman" w:hAnsi="Times New Roman" w:eastAsia="仿宋_GB2312" w:cs="Times New Roman"/>
          <w:b w:val="0"/>
          <w:bCs w:val="0"/>
          <w:color w:val="auto"/>
          <w:lang w:eastAsia="zh-CN"/>
        </w:rPr>
        <w:t>。</w:t>
      </w:r>
      <w:r>
        <w:rPr>
          <w:rFonts w:hint="eastAsia" w:ascii="仿宋_GB2312" w:hAnsi="仿宋_GB2312" w:eastAsia="仿宋_GB2312" w:cs="仿宋_GB2312"/>
          <w:color w:val="auto"/>
        </w:rPr>
        <w:t>PM2.5、PM10浓度指标达到国家二级标准</w:t>
      </w:r>
      <w:r>
        <w:rPr>
          <w:rFonts w:hint="eastAsia" w:ascii="仿宋_GB2312" w:hAnsi="仿宋_GB2312" w:eastAsia="仿宋_GB2312" w:cs="仿宋_GB2312"/>
          <w:color w:val="auto"/>
          <w:lang w:eastAsia="zh-CN"/>
        </w:rPr>
        <w:t>，</w:t>
      </w:r>
      <w:r>
        <w:rPr>
          <w:rFonts w:hint="eastAsia" w:ascii="仿宋_GB2312" w:hAnsi="仿宋_GB2312" w:eastAsia="仿宋_GB2312" w:cs="仿宋_GB2312"/>
          <w:b w:val="0"/>
          <w:bCs w:val="0"/>
          <w:color w:val="auto"/>
        </w:rPr>
        <w:t>空气质量优良率</w:t>
      </w:r>
      <w:r>
        <w:rPr>
          <w:rFonts w:hint="eastAsia" w:ascii="仿宋_GB2312" w:hAnsi="仿宋_GB2312" w:eastAsia="仿宋_GB2312" w:cs="仿宋_GB2312"/>
          <w:b w:val="0"/>
          <w:bCs w:val="0"/>
          <w:color w:val="auto"/>
          <w:lang w:val="en-US" w:eastAsia="zh-CN"/>
        </w:rPr>
        <w:t>保持在</w:t>
      </w:r>
      <w:r>
        <w:rPr>
          <w:rFonts w:hint="eastAsia" w:ascii="仿宋_GB2312" w:hAnsi="仿宋_GB2312" w:eastAsia="仿宋_GB2312" w:cs="仿宋_GB2312"/>
          <w:i w:val="0"/>
          <w:iCs w:val="0"/>
          <w:caps w:val="0"/>
          <w:color w:val="auto"/>
          <w:spacing w:val="0"/>
          <w:sz w:val="31"/>
          <w:szCs w:val="31"/>
          <w:shd w:val="clear" w:fill="FFFFFF"/>
          <w:lang w:eastAsia="zh-CN"/>
        </w:rPr>
        <w:t>8</w:t>
      </w:r>
      <w:r>
        <w:rPr>
          <w:rFonts w:hint="eastAsia" w:ascii="仿宋_GB2312" w:hAnsi="仿宋_GB2312" w:eastAsia="仿宋_GB2312" w:cs="仿宋_GB2312"/>
          <w:i w:val="0"/>
          <w:iCs w:val="0"/>
          <w:caps w:val="0"/>
          <w:color w:val="auto"/>
          <w:spacing w:val="0"/>
          <w:sz w:val="31"/>
          <w:szCs w:val="31"/>
          <w:shd w:val="clear" w:fill="FFFFFF"/>
          <w:lang w:val="en-US" w:eastAsia="zh-CN"/>
        </w:rPr>
        <w:t>5.5</w:t>
      </w:r>
      <w:r>
        <w:rPr>
          <w:rFonts w:hint="eastAsia" w:ascii="仿宋_GB2312" w:hAnsi="仿宋_GB2312" w:eastAsia="仿宋_GB2312" w:cs="仿宋_GB2312"/>
          <w:i w:val="0"/>
          <w:iCs w:val="0"/>
          <w:caps w:val="0"/>
          <w:color w:val="auto"/>
          <w:spacing w:val="0"/>
          <w:sz w:val="31"/>
          <w:szCs w:val="31"/>
          <w:shd w:val="clear" w:fill="FFFFFF"/>
        </w:rPr>
        <w:t>%</w:t>
      </w:r>
      <w:r>
        <w:rPr>
          <w:rFonts w:hint="eastAsia" w:ascii="仿宋_GB2312" w:hAnsi="仿宋_GB2312" w:eastAsia="仿宋_GB2312" w:cs="仿宋_GB2312"/>
          <w:b w:val="0"/>
          <w:bCs w:val="0"/>
          <w:color w:val="auto"/>
          <w:lang w:eastAsia="zh-CN"/>
        </w:rPr>
        <w:t>以上</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rPr>
        <w:t>集中式饮用水水质达标率</w:t>
      </w:r>
      <w:r>
        <w:rPr>
          <w:rFonts w:hint="eastAsia" w:ascii="仿宋_GB2312" w:hAnsi="仿宋_GB2312" w:eastAsia="仿宋_GB2312" w:cs="仿宋_GB2312"/>
          <w:color w:val="auto"/>
          <w:lang w:eastAsia="zh-CN"/>
        </w:rPr>
        <w:t>、</w:t>
      </w:r>
      <w:r>
        <w:rPr>
          <w:rFonts w:hint="eastAsia" w:ascii="仿宋_GB2312" w:hAnsi="仿宋_GB2312" w:eastAsia="仿宋_GB2312" w:cs="仿宋_GB2312"/>
          <w:b w:val="0"/>
          <w:bCs w:val="0"/>
          <w:color w:val="auto"/>
        </w:rPr>
        <w:t>15个地表水监测断面水质优良率、中央</w:t>
      </w:r>
      <w:r>
        <w:rPr>
          <w:rFonts w:hint="eastAsia" w:ascii="仿宋_GB2312" w:hAnsi="仿宋_GB2312" w:eastAsia="仿宋_GB2312" w:cs="仿宋_GB2312"/>
          <w:b w:val="0"/>
          <w:bCs w:val="0"/>
          <w:color w:val="auto"/>
          <w:lang w:val="en-US" w:eastAsia="zh-CN"/>
        </w:rPr>
        <w:t>和</w:t>
      </w:r>
      <w:r>
        <w:rPr>
          <w:rFonts w:hint="eastAsia" w:ascii="仿宋_GB2312" w:hAnsi="仿宋_GB2312" w:eastAsia="仿宋_GB2312" w:cs="仿宋_GB2312"/>
          <w:b w:val="0"/>
          <w:bCs w:val="0"/>
          <w:color w:val="auto"/>
        </w:rPr>
        <w:t>省突出环境问题销号率均为100%。斧头湖咸安湖心水质上升到地表水</w:t>
      </w:r>
      <w:r>
        <w:rPr>
          <w:rFonts w:hint="eastAsia" w:ascii="仿宋_GB2312" w:hAnsi="仿宋_GB2312" w:eastAsia="仿宋_GB2312" w:cs="仿宋_GB2312"/>
          <w:i w:val="0"/>
          <w:iCs w:val="0"/>
          <w:caps w:val="0"/>
          <w:color w:val="auto"/>
          <w:spacing w:val="0"/>
          <w:sz w:val="32"/>
          <w:szCs w:val="22"/>
          <w:shd w:val="clear" w:fill="auto"/>
        </w:rPr>
        <w:t>Ⅲ</w:t>
      </w:r>
      <w:r>
        <w:rPr>
          <w:rFonts w:hint="eastAsia" w:ascii="仿宋_GB2312" w:hAnsi="仿宋_GB2312" w:eastAsia="仿宋_GB2312" w:cs="仿宋_GB2312"/>
          <w:b w:val="0"/>
          <w:bCs w:val="0"/>
          <w:color w:val="auto"/>
        </w:rPr>
        <w:t>类，斧头湖流域退垸（田、渔）还湖1.88万亩。</w:t>
      </w:r>
      <w:r>
        <w:rPr>
          <w:rFonts w:hint="eastAsia" w:ascii="仿宋_GB2312" w:hAnsi="仿宋_GB2312" w:eastAsia="仿宋_GB2312" w:cs="仿宋_GB2312"/>
          <w:b w:val="0"/>
          <w:bCs w:val="0"/>
          <w:color w:val="auto"/>
          <w:lang w:val="en-US" w:eastAsia="zh-CN"/>
        </w:rPr>
        <w:t>斧头湖、西凉湖等</w:t>
      </w:r>
      <w:r>
        <w:rPr>
          <w:rFonts w:hint="eastAsia" w:ascii="仿宋_GB2312" w:hAnsi="仿宋_GB2312" w:eastAsia="仿宋_GB2312" w:cs="仿宋_GB2312"/>
          <w:b w:val="0"/>
          <w:bCs w:val="0"/>
          <w:color w:val="auto"/>
        </w:rPr>
        <w:t>长江流域重点水域禁捕退捕全面完成。</w:t>
      </w:r>
    </w:p>
    <w:p w14:paraId="698DE01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color w:val="auto"/>
        </w:rPr>
      </w:pPr>
      <w:r>
        <w:rPr>
          <w:rFonts w:hint="default" w:ascii="Times New Roman" w:hAnsi="Times New Roman" w:eastAsia="仿宋_GB2312" w:cs="Times New Roman"/>
          <w:b/>
          <w:bCs/>
          <w:color w:val="auto"/>
        </w:rPr>
        <w:t>生态</w:t>
      </w:r>
      <w:r>
        <w:rPr>
          <w:rFonts w:hint="default" w:ascii="Times New Roman" w:hAnsi="Times New Roman" w:eastAsia="仿宋_GB2312" w:cs="Times New Roman"/>
          <w:b/>
          <w:bCs/>
          <w:color w:val="auto"/>
          <w:lang w:val="en-US" w:eastAsia="zh-CN"/>
        </w:rPr>
        <w:t>修复有力推进</w:t>
      </w:r>
      <w:r>
        <w:rPr>
          <w:rFonts w:hint="default" w:ascii="Times New Roman" w:hAnsi="Times New Roman" w:eastAsia="仿宋_GB2312" w:cs="Times New Roman"/>
          <w:b/>
          <w:bCs/>
          <w:color w:val="auto"/>
          <w:lang w:eastAsia="zh-CN"/>
        </w:rPr>
        <w:t>。</w:t>
      </w:r>
      <w:r>
        <w:rPr>
          <w:rFonts w:hint="eastAsia" w:ascii="仿宋_GB2312" w:hAnsi="仿宋_GB2312" w:eastAsia="仿宋_GB2312" w:cs="仿宋_GB2312"/>
          <w:b w:val="0"/>
          <w:bCs w:val="0"/>
          <w:color w:val="auto"/>
          <w:lang w:eastAsia="zh-CN"/>
        </w:rPr>
        <w:t>划定生态保护红线面积263.44平方公里，划定永久基本农田32.07万亩，</w:t>
      </w:r>
      <w:r>
        <w:rPr>
          <w:rFonts w:hint="eastAsia" w:ascii="仿宋_GB2312" w:hAnsi="仿宋_GB2312" w:eastAsia="仿宋_GB2312" w:cs="仿宋_GB2312"/>
          <w:b w:val="0"/>
          <w:bCs w:val="0"/>
          <w:color w:val="auto"/>
          <w:lang w:val="en-US" w:eastAsia="zh-CN"/>
        </w:rPr>
        <w:t>确定</w:t>
      </w:r>
      <w:r>
        <w:rPr>
          <w:rFonts w:hint="eastAsia" w:ascii="仿宋_GB2312" w:hAnsi="仿宋_GB2312" w:eastAsia="仿宋_GB2312" w:cs="仿宋_GB2312"/>
          <w:b w:val="0"/>
          <w:bCs w:val="0"/>
          <w:color w:val="auto"/>
          <w:lang w:eastAsia="zh-CN"/>
        </w:rPr>
        <w:t>耕地保护目标36.35万亩。完成精准灭荒造林5.1万亩，超额完成工程任务，</w:t>
      </w:r>
      <w:r>
        <w:rPr>
          <w:rFonts w:hint="eastAsia" w:ascii="仿宋_GB2312" w:hAnsi="仿宋_GB2312" w:eastAsia="仿宋_GB2312" w:cs="仿宋_GB2312"/>
          <w:color w:val="auto"/>
        </w:rPr>
        <w:t>森林覆盖率</w:t>
      </w:r>
      <w:r>
        <w:rPr>
          <w:rFonts w:hint="eastAsia" w:ascii="仿宋_GB2312" w:hAnsi="仿宋_GB2312" w:eastAsia="仿宋_GB2312" w:cs="仿宋_GB2312"/>
          <w:color w:val="auto"/>
          <w:lang w:val="en-US" w:eastAsia="zh-CN"/>
        </w:rPr>
        <w:t>为</w:t>
      </w:r>
      <w:r>
        <w:rPr>
          <w:rFonts w:hint="eastAsia" w:ascii="仿宋_GB2312" w:hAnsi="仿宋_GB2312" w:eastAsia="仿宋_GB2312" w:cs="仿宋_GB2312"/>
          <w:color w:val="auto"/>
        </w:rPr>
        <w:t>41.5</w:t>
      </w:r>
      <w:r>
        <w:rPr>
          <w:rFonts w:hint="eastAsia" w:ascii="仿宋_GB2312" w:hAnsi="仿宋_GB2312" w:eastAsia="仿宋_GB2312" w:cs="仿宋_GB2312"/>
          <w:color w:val="auto"/>
          <w:lang w:val="en-US" w:eastAsia="zh-CN"/>
        </w:rPr>
        <w:t>0</w:t>
      </w:r>
      <w:r>
        <w:rPr>
          <w:rFonts w:hint="eastAsia" w:ascii="仿宋_GB2312" w:hAnsi="仿宋_GB2312" w:eastAsia="仿宋_GB2312" w:cs="仿宋_GB2312"/>
          <w:color w:val="auto"/>
        </w:rPr>
        <w:t>％</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淦河、高桥河等流域综合治理扎实推进，</w:t>
      </w:r>
      <w:r>
        <w:rPr>
          <w:rFonts w:hint="eastAsia" w:ascii="仿宋_GB2312" w:hAnsi="仿宋_GB2312" w:eastAsia="仿宋_GB2312" w:cs="仿宋_GB2312"/>
          <w:b w:val="0"/>
          <w:bCs w:val="0"/>
          <w:color w:val="auto"/>
          <w:lang w:val="en-US" w:eastAsia="zh-CN"/>
        </w:rPr>
        <w:t>斧头湖水生态修复、“一河两岸”水环境综合治理基本完成，</w:t>
      </w:r>
      <w:r>
        <w:rPr>
          <w:rFonts w:hint="eastAsia" w:ascii="仿宋_GB2312" w:hAnsi="仿宋_GB2312" w:eastAsia="仿宋_GB2312" w:cs="仿宋_GB2312"/>
          <w:color w:val="auto"/>
        </w:rPr>
        <w:t>向阳湖湿地公园试点建设通过国家验收。完成18家非煤矿山生态修复。向阳湖奶牛场</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rPr>
        <w:t>高桥全域国土综合整治项目</w:t>
      </w:r>
      <w:r>
        <w:rPr>
          <w:rFonts w:hint="eastAsia" w:ascii="仿宋_GB2312" w:hAnsi="仿宋_GB2312" w:eastAsia="仿宋_GB2312" w:cs="仿宋_GB2312"/>
          <w:color w:val="auto"/>
          <w:lang w:val="en-US" w:eastAsia="zh-CN"/>
        </w:rPr>
        <w:t>即将收尾</w:t>
      </w:r>
      <w:r>
        <w:rPr>
          <w:rFonts w:hint="eastAsia" w:ascii="仿宋_GB2312" w:hAnsi="仿宋_GB2312" w:eastAsia="仿宋_GB2312" w:cs="仿宋_GB2312"/>
          <w:color w:val="auto"/>
        </w:rPr>
        <w:t>，推进占补平衡和增减挂钩</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累计</w:t>
      </w:r>
      <w:r>
        <w:rPr>
          <w:rFonts w:hint="eastAsia" w:ascii="仿宋_GB2312" w:hAnsi="仿宋_GB2312" w:eastAsia="仿宋_GB2312" w:cs="仿宋_GB2312"/>
          <w:color w:val="auto"/>
        </w:rPr>
        <w:t>新增耕地指标2018亩。</w:t>
      </w:r>
    </w:p>
    <w:p w14:paraId="12DD7BDA">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rPr>
      </w:pPr>
      <w:r>
        <w:rPr>
          <w:rFonts w:hint="eastAsia" w:ascii="仿宋_GB2312" w:hAnsi="仿宋_GB2312" w:eastAsia="仿宋_GB2312" w:cs="仿宋_GB2312"/>
          <w:b/>
          <w:bCs/>
          <w:color w:val="auto"/>
        </w:rPr>
        <w:t>生态</w:t>
      </w:r>
      <w:r>
        <w:rPr>
          <w:rFonts w:hint="eastAsia" w:ascii="仿宋_GB2312" w:hAnsi="仿宋_GB2312" w:eastAsia="仿宋_GB2312" w:cs="仿宋_GB2312"/>
          <w:b/>
          <w:bCs/>
          <w:color w:val="auto"/>
          <w:lang w:val="en-US" w:eastAsia="zh-CN"/>
        </w:rPr>
        <w:t>文明理念更加深入</w:t>
      </w:r>
      <w:r>
        <w:rPr>
          <w:rFonts w:hint="eastAsia" w:ascii="仿宋_GB2312" w:hAnsi="仿宋_GB2312" w:eastAsia="仿宋_GB2312" w:cs="仿宋_GB2312"/>
          <w:b/>
          <w:bCs/>
          <w:color w:val="auto"/>
        </w:rPr>
        <w:t>。</w:t>
      </w:r>
      <w:r>
        <w:rPr>
          <w:rFonts w:hint="eastAsia" w:ascii="仿宋_GB2312" w:hAnsi="仿宋_GB2312" w:eastAsia="仿宋_GB2312" w:cs="仿宋_GB2312"/>
          <w:color w:val="auto"/>
          <w:lang w:val="en-US" w:eastAsia="zh-CN"/>
        </w:rPr>
        <w:t>建立</w:t>
      </w:r>
      <w:r>
        <w:rPr>
          <w:rFonts w:hint="eastAsia" w:ascii="仿宋_GB2312" w:hAnsi="仿宋_GB2312" w:eastAsia="仿宋_GB2312" w:cs="仿宋_GB2312"/>
          <w:color w:val="auto"/>
        </w:rPr>
        <w:t>“三级林长+森林资源监督员+护林员”</w:t>
      </w:r>
      <w:r>
        <w:rPr>
          <w:rFonts w:hint="eastAsia" w:ascii="仿宋_GB2312" w:hAnsi="仿宋_GB2312" w:eastAsia="仿宋_GB2312" w:cs="仿宋_GB2312"/>
          <w:color w:val="auto"/>
          <w:lang w:val="en-US" w:eastAsia="zh-CN"/>
        </w:rPr>
        <w:t>网格化管理</w:t>
      </w:r>
      <w:r>
        <w:rPr>
          <w:rFonts w:hint="eastAsia" w:ascii="仿宋_GB2312" w:hAnsi="仿宋_GB2312" w:eastAsia="仿宋_GB2312" w:cs="仿宋_GB2312"/>
          <w:color w:val="auto"/>
        </w:rPr>
        <w:t>体系</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建立覆盖区、乡、村三级河湖库长体系</w:t>
      </w:r>
      <w:r>
        <w:rPr>
          <w:rFonts w:hint="eastAsia" w:ascii="仿宋_GB2312" w:hAnsi="仿宋_GB2312" w:eastAsia="仿宋_GB2312" w:cs="仿宋_GB2312"/>
          <w:color w:val="auto"/>
          <w:lang w:val="en-US" w:eastAsia="zh-CN"/>
        </w:rPr>
        <w:t>，水利和湖泊局连续两年被</w:t>
      </w:r>
      <w:r>
        <w:rPr>
          <w:rFonts w:hint="eastAsia" w:ascii="仿宋_GB2312" w:hAnsi="仿宋_GB2312" w:eastAsia="仿宋_GB2312" w:cs="仿宋_GB2312"/>
          <w:b w:val="0"/>
          <w:bCs w:val="0"/>
          <w:color w:val="auto"/>
          <w:lang w:eastAsia="zh-CN"/>
        </w:rPr>
        <w:t>省河湖长办</w:t>
      </w:r>
      <w:r>
        <w:rPr>
          <w:rFonts w:hint="eastAsia" w:ascii="仿宋_GB2312" w:hAnsi="仿宋_GB2312" w:eastAsia="仿宋_GB2312" w:cs="仿宋_GB2312"/>
          <w:b w:val="0"/>
          <w:bCs w:val="0"/>
          <w:color w:val="auto"/>
          <w:lang w:val="en-US" w:eastAsia="zh-CN"/>
        </w:rPr>
        <w:t>评为先进单位。</w:t>
      </w:r>
      <w:r>
        <w:rPr>
          <w:rFonts w:hint="eastAsia" w:ascii="仿宋_GB2312" w:hAnsi="仿宋_GB2312" w:eastAsia="仿宋_GB2312" w:cs="仿宋_GB2312"/>
          <w:color w:val="auto"/>
          <w:lang w:val="en-US" w:eastAsia="zh-CN"/>
        </w:rPr>
        <w:t>全区</w:t>
      </w:r>
      <w:r>
        <w:rPr>
          <w:rFonts w:hint="eastAsia" w:ascii="仿宋_GB2312" w:hAnsi="仿宋_GB2312" w:eastAsia="仿宋_GB2312" w:cs="仿宋_GB2312"/>
          <w:b w:val="0"/>
          <w:bCs w:val="0"/>
          <w:color w:val="auto"/>
          <w:sz w:val="32"/>
          <w:szCs w:val="32"/>
          <w:lang w:val="en-US" w:eastAsia="zh-CN"/>
        </w:rPr>
        <w:t>时空大数据基础信息平台建设基本完成，</w:t>
      </w:r>
      <w:r>
        <w:rPr>
          <w:rFonts w:hint="eastAsia" w:ascii="仿宋_GB2312" w:hAnsi="仿宋_GB2312" w:eastAsia="仿宋_GB2312" w:cs="仿宋_GB2312"/>
          <w:b w:val="0"/>
          <w:bCs w:val="0"/>
          <w:color w:val="auto"/>
          <w:lang w:eastAsia="zh-CN"/>
        </w:rPr>
        <w:t>形成全区国土空间规划“一张底图”，实现主体功能区战略和各类空间管控红线精准</w:t>
      </w:r>
      <w:r>
        <w:rPr>
          <w:rFonts w:hint="eastAsia" w:ascii="仿宋_GB2312" w:hAnsi="仿宋_GB2312" w:eastAsia="仿宋_GB2312" w:cs="仿宋_GB2312"/>
          <w:b w:val="0"/>
          <w:bCs w:val="0"/>
          <w:color w:val="auto"/>
          <w:lang w:val="en-US" w:eastAsia="zh-CN"/>
        </w:rPr>
        <w:t>落地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color w:val="auto"/>
          <w:lang w:val="en-US" w:eastAsia="zh-CN"/>
        </w:rPr>
        <w:t>绿色生活理念深入人心，</w:t>
      </w:r>
      <w:r>
        <w:rPr>
          <w:rFonts w:hint="eastAsia" w:ascii="仿宋_GB2312" w:hAnsi="仿宋_GB2312" w:eastAsia="仿宋_GB2312" w:cs="仿宋_GB2312"/>
          <w:color w:val="auto"/>
        </w:rPr>
        <w:t>打造7个省市级垃圾分类示范村，</w:t>
      </w:r>
      <w:r>
        <w:rPr>
          <w:rFonts w:hint="eastAsia" w:ascii="仿宋_GB2312" w:hAnsi="仿宋_GB2312" w:eastAsia="仿宋_GB2312" w:cs="仿宋_GB2312"/>
          <w:color w:val="auto"/>
          <w:lang w:val="en-US" w:eastAsia="zh-CN"/>
        </w:rPr>
        <w:t>被水利部公布为第四批节水型社会建设达标县，2021年</w:t>
      </w:r>
      <w:r>
        <w:rPr>
          <w:rFonts w:hint="eastAsia" w:ascii="仿宋_GB2312" w:hAnsi="仿宋_GB2312" w:eastAsia="仿宋_GB2312" w:cs="仿宋_GB2312"/>
          <w:color w:val="auto"/>
          <w:lang w:eastAsia="zh-CN"/>
        </w:rPr>
        <w:t>获得“湖北省生态文明建设示范区”称号</w:t>
      </w:r>
      <w:r>
        <w:rPr>
          <w:rFonts w:hint="eastAsia" w:ascii="仿宋_GB2312" w:hAnsi="仿宋_GB2312" w:eastAsia="仿宋_GB2312" w:cs="仿宋_GB2312"/>
          <w:color w:val="auto"/>
          <w:lang w:val="en-US" w:eastAsia="zh-CN"/>
        </w:rPr>
        <w:t>。</w:t>
      </w:r>
    </w:p>
    <w:p w14:paraId="28B4F900">
      <w:pPr>
        <w:pStyle w:val="6"/>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3" w:firstLineChars="200"/>
        <w:textAlignment w:val="auto"/>
        <w:rPr>
          <w:rFonts w:hint="eastAsia" w:ascii="仿宋_GB2312" w:hAnsi="仿宋_GB2312" w:eastAsia="仿宋_GB2312" w:cs="仿宋_GB2312"/>
          <w:color w:val="auto"/>
          <w:kern w:val="2"/>
          <w:sz w:val="32"/>
          <w:szCs w:val="22"/>
          <w:highlight w:val="none"/>
          <w:lang w:val="en-US" w:eastAsia="zh-CN" w:bidi="ar-SA"/>
        </w:rPr>
      </w:pPr>
      <w:r>
        <w:rPr>
          <w:rFonts w:hint="eastAsia" w:ascii="仿宋_GB2312" w:hAnsi="仿宋_GB2312" w:eastAsia="仿宋_GB2312" w:cs="仿宋_GB2312"/>
          <w:color w:val="auto"/>
          <w:kern w:val="0"/>
          <w:sz w:val="32"/>
          <w:szCs w:val="28"/>
          <w:lang w:val="en-US" w:eastAsia="zh-CN" w:bidi="ar"/>
        </w:rPr>
        <w:t>民生福祉不断提升</w:t>
      </w:r>
    </w:p>
    <w:p w14:paraId="4C177A46">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rPr>
        <w:t>就业形势保持平稳</w:t>
      </w:r>
      <w:r>
        <w:rPr>
          <w:rFonts w:hint="eastAsia" w:ascii="仿宋_GB2312" w:hAnsi="仿宋_GB2312" w:eastAsia="仿宋_GB2312" w:cs="仿宋_GB2312"/>
          <w:b/>
          <w:bCs/>
          <w:color w:val="auto"/>
          <w:lang w:eastAsia="zh-CN"/>
        </w:rPr>
        <w:t>。</w:t>
      </w:r>
      <w:r>
        <w:rPr>
          <w:rFonts w:hint="eastAsia" w:ascii="仿宋_GB2312" w:hAnsi="仿宋_GB2312" w:eastAsia="仿宋_GB2312" w:cs="仿宋_GB2312"/>
          <w:b w:val="0"/>
          <w:bCs w:val="0"/>
          <w:color w:val="auto"/>
          <w:lang w:eastAsia="zh-CN"/>
        </w:rPr>
        <w:t>实现城镇新增就业12915人，城镇登记失业率控制在4.5%以内，</w:t>
      </w:r>
      <w:r>
        <w:rPr>
          <w:rFonts w:hint="eastAsia" w:ascii="仿宋_GB2312" w:hAnsi="仿宋_GB2312" w:eastAsia="仿宋_GB2312" w:cs="仿宋_GB2312"/>
          <w:color w:val="auto"/>
          <w:lang w:val="en-US" w:eastAsia="zh-CN"/>
        </w:rPr>
        <w:t>城乡居民收入比由2020年的2：1缩小到2022年的1.99：1。</w:t>
      </w:r>
      <w:r>
        <w:rPr>
          <w:rFonts w:hint="eastAsia" w:ascii="仿宋_GB2312" w:hAnsi="仿宋_GB2312" w:eastAsia="仿宋_GB2312" w:cs="仿宋_GB2312"/>
          <w:b w:val="0"/>
          <w:bCs w:val="0"/>
          <w:color w:val="auto"/>
          <w:lang w:val="en-US" w:eastAsia="zh-CN"/>
        </w:rPr>
        <w:t>出台</w:t>
      </w:r>
      <w:r>
        <w:rPr>
          <w:rFonts w:hint="eastAsia" w:ascii="仿宋_GB2312" w:hAnsi="仿宋_GB2312" w:eastAsia="仿宋_GB2312" w:cs="仿宋_GB2312"/>
          <w:color w:val="auto"/>
        </w:rPr>
        <w:t>《关于实施“桂乡人才”计划助推“四个首善</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之区建设的实施意见》，实施“桂乡人才”计划</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“才聚荆楚</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rPr>
        <w:t>志在咸宁”工程，建立区人力资源市场服务中心、乡镇人社中心、村</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社区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三级人力资源服务平台，打造线上线下“零工驿站”。开展各类补贴性职业技能培训8377人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发放创业担保贷款4.59亿元</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成功举办第五届“香城杯”创新创业大赛。开展服务保障企业用工专项行动，深化与咸宁职业技术学院校企合作，推行“订单式培养”，缓解企业技工缺口。</w:t>
      </w:r>
    </w:p>
    <w:p w14:paraId="708FEA72">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b/>
          <w:bCs/>
          <w:color w:val="auto"/>
          <w:lang w:val="en-US" w:eastAsia="zh-CN"/>
        </w:rPr>
        <w:t>城乡教育均衡发展。</w:t>
      </w:r>
      <w:r>
        <w:rPr>
          <w:rFonts w:hint="eastAsia" w:ascii="仿宋_GB2312" w:hAnsi="仿宋_GB2312" w:eastAsia="仿宋_GB2312" w:cs="仿宋_GB2312"/>
          <w:color w:val="auto"/>
        </w:rPr>
        <w:t>普惠性幼儿园占比逐步扩大，</w:t>
      </w:r>
      <w:r>
        <w:rPr>
          <w:rFonts w:hint="eastAsia" w:ascii="仿宋_GB2312" w:hAnsi="仿宋_GB2312" w:eastAsia="仿宋_GB2312" w:cs="仿宋_GB2312"/>
          <w:color w:val="auto"/>
          <w:lang w:val="en-US" w:eastAsia="zh-CN"/>
        </w:rPr>
        <w:t>2023年</w:t>
      </w:r>
      <w:r>
        <w:rPr>
          <w:rFonts w:ascii="仿宋_GB2312" w:hAnsi="宋体" w:eastAsia="仿宋_GB2312" w:cs="仿宋_GB2312"/>
          <w:i w:val="0"/>
          <w:iCs w:val="0"/>
          <w:caps w:val="0"/>
          <w:color w:val="000000"/>
          <w:spacing w:val="0"/>
          <w:sz w:val="31"/>
          <w:szCs w:val="31"/>
          <w:shd w:val="clear" w:fill="FFFFFF"/>
        </w:rPr>
        <w:t>普惠性幼儿园</w:t>
      </w:r>
      <w:r>
        <w:rPr>
          <w:rFonts w:hint="eastAsia" w:ascii="仿宋_GB2312" w:hAnsi="仿宋_GB2312" w:eastAsia="仿宋_GB2312" w:cs="仿宋_GB2312"/>
          <w:color w:val="auto"/>
          <w:lang w:eastAsia="zh-CN"/>
        </w:rPr>
        <w:t>在园幼儿占比达到</w:t>
      </w:r>
      <w:r>
        <w:rPr>
          <w:rFonts w:hint="eastAsia" w:ascii="仿宋_GB2312" w:hAnsi="仿宋_GB2312" w:eastAsia="仿宋_GB2312" w:cs="仿宋_GB2312"/>
          <w:color w:val="auto"/>
          <w:lang w:val="en-US" w:eastAsia="zh-CN"/>
        </w:rPr>
        <w:t>87.8</w:t>
      </w:r>
      <w:r>
        <w:rPr>
          <w:rFonts w:hint="eastAsia" w:ascii="仿宋_GB2312" w:hAnsi="仿宋_GB2312" w:eastAsia="仿宋_GB2312" w:cs="仿宋_GB2312"/>
          <w:color w:val="auto"/>
          <w:lang w:eastAsia="zh-CN"/>
        </w:rPr>
        <w:t>%，学龄儿童入学率为100%。九年义务教育完成率为98.4%。建成银桂学校、泉都学校、博实乐学校，改扩建第三小学、凤凰学校等义务教育学段学校，新增提供学位12260个，</w:t>
      </w:r>
      <w:r>
        <w:rPr>
          <w:rFonts w:hint="eastAsia" w:ascii="仿宋_GB2312" w:hAnsi="仿宋_GB2312" w:eastAsia="仿宋_GB2312" w:cs="仿宋_GB2312"/>
          <w:color w:val="auto"/>
        </w:rPr>
        <w:t>择校热、大班额问题有效缓解。积极探索与武汉合作开发远程教育模式，成立“武咸两地教研共同体”</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共享优质资源。推进义务教育教师“区管校聘”管理体制改革，新招录教师</w:t>
      </w:r>
      <w:r>
        <w:rPr>
          <w:rFonts w:hint="eastAsia" w:ascii="仿宋_GB2312" w:hAnsi="仿宋_GB2312" w:eastAsia="仿宋_GB2312" w:cs="仿宋_GB2312"/>
          <w:color w:val="auto"/>
          <w:lang w:val="en-US" w:eastAsia="zh-CN"/>
        </w:rPr>
        <w:t>593</w:t>
      </w:r>
      <w:r>
        <w:rPr>
          <w:rFonts w:hint="eastAsia" w:ascii="仿宋_GB2312" w:hAnsi="仿宋_GB2312" w:eastAsia="仿宋_GB2312" w:cs="仿宋_GB2312"/>
          <w:color w:val="auto"/>
        </w:rPr>
        <w:t>人。实施咸高三期提升工程，改善学校办学条件。实现全区校车统一运营管理。</w:t>
      </w:r>
    </w:p>
    <w:p w14:paraId="27877305">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医疗服务更加优质。</w:t>
      </w:r>
      <w:r>
        <w:rPr>
          <w:rFonts w:hint="eastAsia" w:ascii="仿宋_GB2312" w:hAnsi="仿宋_GB2312" w:eastAsia="仿宋_GB2312" w:cs="仿宋_GB2312"/>
          <w:b w:val="0"/>
          <w:bCs w:val="0"/>
          <w:color w:val="auto"/>
          <w:lang w:val="en-US" w:eastAsia="zh-CN"/>
        </w:rPr>
        <w:t>每千人口拥有执业（助理）医师数、</w:t>
      </w:r>
      <w:r>
        <w:rPr>
          <w:rFonts w:ascii="仿宋_GB2312" w:hAnsi="宋体" w:eastAsia="仿宋_GB2312" w:cs="仿宋_GB2312"/>
          <w:i w:val="0"/>
          <w:iCs w:val="0"/>
          <w:caps w:val="0"/>
          <w:color w:val="000000"/>
          <w:spacing w:val="0"/>
          <w:sz w:val="31"/>
          <w:szCs w:val="31"/>
          <w:shd w:val="clear" w:fill="FFFFFF"/>
        </w:rPr>
        <w:t>千人口</w:t>
      </w:r>
      <w:r>
        <w:rPr>
          <w:rFonts w:hint="eastAsia" w:ascii="仿宋_GB2312" w:hAnsi="仿宋_GB2312" w:eastAsia="仿宋_GB2312" w:cs="仿宋_GB2312"/>
          <w:b w:val="0"/>
          <w:bCs w:val="0"/>
          <w:color w:val="auto"/>
          <w:lang w:val="en-US" w:eastAsia="zh-CN"/>
        </w:rPr>
        <w:t>拥有0-3岁婴幼儿托位数均高于全省全市平均水平。</w:t>
      </w:r>
      <w:r>
        <w:rPr>
          <w:rFonts w:hint="eastAsia" w:ascii="仿宋_GB2312" w:hAnsi="仿宋_GB2312" w:eastAsia="仿宋_GB2312" w:cs="仿宋_GB2312"/>
          <w:b w:val="0"/>
          <w:bCs/>
          <w:color w:val="auto"/>
          <w:kern w:val="2"/>
          <w:sz w:val="32"/>
          <w:szCs w:val="32"/>
          <w:highlight w:val="none"/>
          <w:lang w:val="en-US" w:eastAsia="zh-CN" w:bidi="ar-SA"/>
        </w:rPr>
        <w:t>实施公共卫生补短板项目建设三年行动，市第一人民医院传染病大楼、永安社区卫生服务中心医养康复大楼等项目顺利推进；区疾控中心、汀泗中心卫生院和大幕卫生院整体搬迁等项目建成投入使用；新建改扩建村级卫生室60个，实现全区村级卫生室标准化建设全覆盖</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rPr>
        <w:t>全区</w:t>
      </w:r>
      <w:r>
        <w:rPr>
          <w:rFonts w:hint="eastAsia" w:ascii="仿宋_GB2312" w:hAnsi="仿宋_GB2312" w:eastAsia="仿宋_GB2312" w:cs="仿宋_GB2312"/>
          <w:color w:val="auto"/>
          <w:lang w:val="en-US" w:eastAsia="zh-CN"/>
        </w:rPr>
        <w:t>卫生机构床位数达到6111张</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加强医联体建设，</w:t>
      </w:r>
      <w:r>
        <w:rPr>
          <w:rFonts w:hint="eastAsia" w:ascii="仿宋_GB2312" w:hAnsi="仿宋_GB2312" w:eastAsia="仿宋_GB2312" w:cs="仿宋_GB2312"/>
          <w:color w:val="auto"/>
        </w:rPr>
        <w:t>市第一人民医院</w:t>
      </w:r>
      <w:r>
        <w:rPr>
          <w:rFonts w:hint="eastAsia" w:ascii="仿宋_GB2312" w:hAnsi="仿宋_GB2312" w:eastAsia="仿宋_GB2312" w:cs="仿宋_GB2312"/>
          <w:color w:val="auto"/>
          <w:lang w:eastAsia="zh-CN"/>
        </w:rPr>
        <w:t>与</w:t>
      </w:r>
      <w:r>
        <w:rPr>
          <w:rFonts w:hint="eastAsia" w:ascii="仿宋_GB2312" w:hAnsi="仿宋_GB2312" w:eastAsia="仿宋_GB2312" w:cs="仿宋_GB2312"/>
          <w:color w:val="auto"/>
        </w:rPr>
        <w:t>武汉大学中南医院</w:t>
      </w:r>
      <w:r>
        <w:rPr>
          <w:rFonts w:hint="eastAsia" w:ascii="仿宋_GB2312" w:hAnsi="仿宋_GB2312" w:eastAsia="仿宋_GB2312" w:cs="仿宋_GB2312"/>
          <w:color w:val="auto"/>
          <w:lang w:eastAsia="zh-CN"/>
        </w:rPr>
        <w:t>实现</w:t>
      </w:r>
      <w:r>
        <w:rPr>
          <w:rFonts w:hint="eastAsia" w:ascii="仿宋_GB2312" w:hAnsi="仿宋_GB2312" w:eastAsia="仿宋_GB2312" w:cs="仿宋_GB2312"/>
          <w:color w:val="auto"/>
        </w:rPr>
        <w:t>托管</w:t>
      </w:r>
      <w:r>
        <w:rPr>
          <w:rFonts w:hint="eastAsia" w:ascii="仿宋_GB2312" w:hAnsi="仿宋_GB2312" w:eastAsia="仿宋_GB2312" w:cs="仿宋_GB2312"/>
          <w:color w:val="auto"/>
          <w:lang w:eastAsia="zh-CN"/>
        </w:rPr>
        <w:t>经营</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华科同济医学院附属同济医院咸宁医院获批国家级区域医疗中心</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137个村卫生室实现“一村一名大学生村医”全覆盖。</w:t>
      </w:r>
      <w:r>
        <w:rPr>
          <w:rFonts w:hint="eastAsia" w:ascii="仿宋_GB2312" w:hAnsi="仿宋_GB2312" w:eastAsia="仿宋_GB2312" w:cs="仿宋_GB2312"/>
          <w:color w:val="auto"/>
          <w:lang w:val="en-US" w:eastAsia="zh-CN"/>
        </w:rPr>
        <w:t>家庭医生</w:t>
      </w:r>
      <w:r>
        <w:rPr>
          <w:rFonts w:hint="eastAsia" w:ascii="仿宋_GB2312" w:hAnsi="仿宋_GB2312" w:eastAsia="仿宋_GB2312" w:cs="仿宋_GB2312"/>
          <w:color w:val="auto"/>
        </w:rPr>
        <w:t>六类重点人群签约率78.5%，四种慢病签约率91.5%。强化</w:t>
      </w:r>
      <w:r>
        <w:rPr>
          <w:rFonts w:hint="eastAsia" w:ascii="仿宋_GB2312" w:hAnsi="仿宋_GB2312" w:eastAsia="仿宋_GB2312" w:cs="仿宋_GB2312"/>
          <w:color w:val="auto"/>
          <w:lang w:eastAsia="zh-CN"/>
        </w:rPr>
        <w:t>区中医医院</w:t>
      </w:r>
      <w:r>
        <w:rPr>
          <w:rFonts w:hint="eastAsia" w:ascii="仿宋_GB2312" w:hAnsi="仿宋_GB2312" w:eastAsia="仿宋_GB2312" w:cs="仿宋_GB2312"/>
          <w:color w:val="auto"/>
        </w:rPr>
        <w:t>建设和综合医院中医科室建设，10家乡镇卫生院和3家社区卫生服务中心国医堂全覆盖。</w:t>
      </w:r>
      <w:r>
        <w:rPr>
          <w:rFonts w:hint="eastAsia" w:ascii="仿宋_GB2312" w:hAnsi="仿宋_GB2312" w:eastAsia="仿宋_GB2312" w:cs="仿宋_GB2312"/>
          <w:color w:val="auto"/>
          <w:lang w:val="en-US" w:eastAsia="zh-CN"/>
        </w:rPr>
        <w:t>落实优生优育保障措施，明确辅助生殖技术治疗费用报销标准，全区母婴设施的公共场所配置率100%。创建国家级卫生乡镇1个、省级卫生乡镇4个，创建率达到38.46%，高于省定标准15%；近三年被省级命名的卫生村有58个，省级卫生村创建率达到46.4%，高于省定标准30%。</w:t>
      </w:r>
    </w:p>
    <w:p w14:paraId="5CE1A6BE">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公共文体事业不断完善</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b/>
          <w:bCs/>
          <w:color w:val="auto"/>
          <w:lang w:val="en-US" w:eastAsia="zh-CN"/>
        </w:rPr>
        <w:t>文体惠民工程深入实施</w:t>
      </w:r>
      <w:r>
        <w:rPr>
          <w:rFonts w:hint="eastAsia" w:ascii="仿宋_GB2312" w:hAnsi="仿宋_GB2312" w:eastAsia="仿宋_GB2312" w:cs="仿宋_GB2312"/>
          <w:color w:val="auto"/>
          <w:lang w:val="en-US" w:eastAsia="zh-CN"/>
        </w:rPr>
        <w:t>，完成马桥王家畈学堂修缮、钱亦石纪念馆布展、何功伟故居布展和钱瑛同志生平事迹展，咸安区文化馆和图书馆“两馆”正式投入使用，华中最大室内滑雪场际华香城滑雪馆投入运营，潜山文化体育公园建成开园，马桥乡村记忆馆顺利开馆。</w:t>
      </w:r>
      <w:r>
        <w:rPr>
          <w:rFonts w:hint="eastAsia" w:ascii="仿宋_GB2312" w:hAnsi="仿宋_GB2312" w:eastAsia="仿宋_GB2312" w:cs="仿宋_GB2312"/>
          <w:b/>
          <w:bCs/>
          <w:color w:val="auto"/>
          <w:lang w:val="en-US" w:eastAsia="zh-CN"/>
        </w:rPr>
        <w:t>重大文体活动顺利承办，</w:t>
      </w:r>
      <w:r>
        <w:rPr>
          <w:rFonts w:hint="eastAsia" w:ascii="仿宋_GB2312" w:hAnsi="仿宋_GB2312" w:eastAsia="仿宋_GB2312" w:cs="仿宋_GB2312"/>
          <w:color w:val="auto"/>
          <w:lang w:val="en-US" w:eastAsia="zh-CN"/>
        </w:rPr>
        <w:t>第四届全国老年人体育健身大会圆满落幕，湖北省图书馆学会2022年度学术年会顺利召开。培育456支文艺团队，累计开展文化惠民活动1万余场。</w:t>
      </w:r>
      <w:r>
        <w:rPr>
          <w:rFonts w:hint="eastAsia" w:ascii="仿宋_GB2312" w:hAnsi="仿宋_GB2312" w:eastAsia="仿宋_GB2312" w:cs="仿宋_GB2312"/>
          <w:b/>
          <w:bCs/>
          <w:color w:val="auto"/>
          <w:lang w:val="en-US" w:eastAsia="zh-CN"/>
        </w:rPr>
        <w:t>新时代</w:t>
      </w:r>
      <w:r>
        <w:rPr>
          <w:rFonts w:hint="eastAsia" w:ascii="仿宋_GB2312" w:hAnsi="仿宋_GB2312" w:eastAsia="仿宋_GB2312" w:cs="仿宋_GB2312"/>
          <w:b/>
          <w:bCs/>
          <w:color w:val="auto"/>
        </w:rPr>
        <w:t>文明风尚积厚成势</w:t>
      </w:r>
      <w:r>
        <w:rPr>
          <w:rFonts w:hint="eastAsia" w:ascii="仿宋_GB2312" w:hAnsi="仿宋_GB2312" w:eastAsia="仿宋_GB2312" w:cs="仿宋_GB2312"/>
          <w:b/>
          <w:bCs/>
          <w:color w:val="auto"/>
          <w:lang w:eastAsia="zh-CN"/>
        </w:rPr>
        <w:t>，</w:t>
      </w:r>
      <w:r>
        <w:rPr>
          <w:rFonts w:hint="eastAsia" w:ascii="仿宋_GB2312" w:hAnsi="仿宋_GB2312" w:eastAsia="仿宋_GB2312" w:cs="仿宋_GB2312"/>
          <w:color w:val="auto"/>
        </w:rPr>
        <w:t>区级新时代文明实践中心新馆建成开馆，区镇村新时代文明实践服务网络体系更加健全。常态化开展志愿服务活动5000余场，打造“香城管家”“红色管家”“帮帮邻”等志愿服务品牌。持续评选咸安好人、道德模范和桂乡楷模，全国文明城市创建省测获全省第三名。</w:t>
      </w:r>
      <w:r>
        <w:rPr>
          <w:rFonts w:hint="eastAsia" w:ascii="仿宋_GB2312" w:hAnsi="仿宋_GB2312" w:eastAsia="仿宋_GB2312" w:cs="仿宋_GB2312"/>
          <w:b/>
          <w:bCs/>
          <w:color w:val="auto"/>
          <w:lang w:val="en-US" w:eastAsia="zh-CN"/>
        </w:rPr>
        <w:t>咸安特色文化品牌擦亮焕彩</w:t>
      </w:r>
      <w:r>
        <w:rPr>
          <w:rFonts w:hint="eastAsia" w:ascii="仿宋_GB2312" w:hAnsi="仿宋_GB2312" w:eastAsia="仿宋_GB2312" w:cs="仿宋_GB2312"/>
          <w:color w:val="auto"/>
          <w:lang w:val="en-US" w:eastAsia="zh-CN"/>
        </w:rPr>
        <w:t>，持续推进“中国桂花城”建设，成功举办“桂香满咸宁”桂花文化系列活动；高质高效打造“桂月文化”文艺精品节目，联合咸宁职业教育学校打造桂月题材舞蹈《桂·月之灵》，咸安祭月仪式和文化被央视“新闻联播”“文明密码”“我们的节日”等栏目多次报道。</w:t>
      </w:r>
    </w:p>
    <w:p w14:paraId="0B2CA108">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rPr>
        <w:t>社会保障提标扩面</w:t>
      </w:r>
      <w:r>
        <w:rPr>
          <w:rFonts w:hint="eastAsia" w:ascii="仿宋_GB2312" w:hAnsi="仿宋_GB2312" w:eastAsia="仿宋_GB2312" w:cs="仿宋_GB2312"/>
          <w:b/>
          <w:bCs/>
          <w:color w:val="auto"/>
          <w:lang w:eastAsia="zh-CN"/>
        </w:rPr>
        <w:t>。</w:t>
      </w:r>
      <w:r>
        <w:rPr>
          <w:rFonts w:hint="eastAsia" w:ascii="仿宋_GB2312" w:hAnsi="仿宋_GB2312" w:eastAsia="仿宋_GB2312" w:cs="仿宋_GB2312"/>
          <w:b w:val="0"/>
          <w:bCs w:val="0"/>
          <w:color w:val="auto"/>
          <w:lang w:eastAsia="zh-CN"/>
        </w:rPr>
        <w:t>民生性支出占一般公共预算支出的比重达到80%以上。</w:t>
      </w:r>
      <w:r>
        <w:rPr>
          <w:rFonts w:hint="eastAsia" w:ascii="仿宋_GB2312" w:hAnsi="仿宋_GB2312" w:eastAsia="仿宋_GB2312" w:cs="仿宋_GB2312"/>
          <w:b w:val="0"/>
          <w:bCs w:val="0"/>
          <w:color w:val="auto"/>
        </w:rPr>
        <w:t>城乡低保、农村五保等保障标准逐年提升，2022年全区职工基本养老保险参保率达到92%、城乡居民基本养老保险参保率达到100%。筹集保障</w:t>
      </w:r>
      <w:r>
        <w:rPr>
          <w:rFonts w:hint="eastAsia" w:ascii="仿宋_GB2312" w:hAnsi="仿宋_GB2312" w:eastAsia="仿宋_GB2312" w:cs="仿宋_GB2312"/>
          <w:color w:val="auto"/>
        </w:rPr>
        <w:t>性租赁住房</w:t>
      </w:r>
      <w:r>
        <w:rPr>
          <w:rFonts w:hint="eastAsia" w:ascii="仿宋_GB2312" w:hAnsi="仿宋_GB2312" w:eastAsia="仿宋_GB2312" w:cs="仿宋_GB2312"/>
          <w:color w:val="auto"/>
          <w:lang w:val="en-US" w:eastAsia="zh-CN"/>
        </w:rPr>
        <w:t>506</w:t>
      </w:r>
      <w:r>
        <w:rPr>
          <w:rFonts w:hint="eastAsia" w:ascii="仿宋_GB2312" w:hAnsi="仿宋_GB2312" w:eastAsia="仿宋_GB2312" w:cs="仿宋_GB2312"/>
          <w:color w:val="auto"/>
        </w:rPr>
        <w:t>套，进一步满足住房困难群众和部分人才的住房需求。新增城乡居家养老床位296张，建成农村日间互助照料中心、社区居家养老中心154处。完成740户残疾人家庭无障碍改造和950户特殊困难老年人家庭适老化改造</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区社会福利院和官埠桥镇福利院整体搬迁工程进入收尾阶段，全区养老机构床位达到4029张</w:t>
      </w:r>
      <w:r>
        <w:rPr>
          <w:rFonts w:hint="eastAsia" w:ascii="仿宋_GB2312" w:hAnsi="仿宋_GB2312" w:eastAsia="仿宋_GB2312" w:cs="仿宋_GB2312"/>
          <w:color w:val="auto"/>
          <w:lang w:eastAsia="zh-CN"/>
        </w:rPr>
        <w:t>。实施</w:t>
      </w:r>
      <w:r>
        <w:rPr>
          <w:rFonts w:hint="eastAsia" w:ascii="仿宋_GB2312" w:hAnsi="仿宋_GB2312" w:eastAsia="仿宋_GB2312" w:cs="仿宋_GB2312"/>
          <w:color w:val="auto"/>
        </w:rPr>
        <w:t>咸宁市居家和社区基本养老服务提升项目，建设家庭养老床位360张，开展居家养老上门服务714人</w:t>
      </w:r>
      <w:r>
        <w:rPr>
          <w:rFonts w:hint="eastAsia" w:ascii="仿宋_GB2312" w:hAnsi="仿宋_GB2312" w:eastAsia="仿宋_GB2312" w:cs="仿宋_GB2312"/>
          <w:color w:val="auto"/>
          <w:lang w:eastAsia="zh-CN"/>
        </w:rPr>
        <w:t>。</w:t>
      </w:r>
    </w:p>
    <w:bookmarkEnd w:id="40"/>
    <w:bookmarkEnd w:id="41"/>
    <w:bookmarkEnd w:id="42"/>
    <w:bookmarkEnd w:id="43"/>
    <w:bookmarkEnd w:id="44"/>
    <w:p w14:paraId="17D7ADE7">
      <w:pPr>
        <w:pStyle w:val="6"/>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3" w:firstLineChars="20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社会大局稳定向好</w:t>
      </w:r>
    </w:p>
    <w:p w14:paraId="2FF180D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b/>
          <w:bCs/>
          <w:color w:val="auto"/>
          <w:lang w:val="en-US" w:eastAsia="zh-CN"/>
        </w:rPr>
        <w:t>基层社会治理体系更加完善</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szCs w:val="32"/>
          <w:lang w:val="en-US" w:eastAsia="zh-CN"/>
        </w:rPr>
        <w:t>坚持以政治建设为统领，健全党建引领下自治、法治、德治相结合的基层社会治理体系。扎实开展“两学一做”学习教育、“不忘初心、牢记使命”主题教育、党史学习教育。加快政府职能和作风“双转变”，严格执行中央八项规定，打造廉洁高效政府。</w:t>
      </w:r>
      <w:r>
        <w:rPr>
          <w:rFonts w:hint="eastAsia" w:ascii="仿宋_GB2312" w:hAnsi="仿宋_GB2312" w:eastAsia="仿宋_GB2312" w:cs="仿宋_GB2312"/>
          <w:b/>
          <w:bCs/>
          <w:color w:val="auto"/>
          <w:lang w:val="en-US" w:eastAsia="zh-CN"/>
        </w:rPr>
        <w:t>基层社会治理有创新</w:t>
      </w:r>
      <w:r>
        <w:rPr>
          <w:rFonts w:hint="eastAsia" w:ascii="仿宋_GB2312" w:hAnsi="仿宋_GB2312" w:eastAsia="仿宋_GB2312" w:cs="仿宋_GB2312"/>
          <w:color w:val="auto"/>
          <w:lang w:val="en-US" w:eastAsia="zh-CN"/>
        </w:rPr>
        <w:t>，持续推进乡镇综窗改革、“咸安微家园”建设，获批全省基层治理创新试验区，</w:t>
      </w:r>
      <w:r>
        <w:rPr>
          <w:rFonts w:hint="eastAsia" w:ascii="仿宋_GB2312" w:hAnsi="仿宋_GB2312" w:eastAsia="仿宋_GB2312" w:cs="仿宋_GB2312"/>
          <w:color w:val="auto"/>
          <w:szCs w:val="32"/>
          <w:lang w:val="en-US" w:eastAsia="zh-CN"/>
        </w:rPr>
        <w:t>全国社区治理和服务创新试验区建设稳步推进，</w:t>
      </w:r>
      <w:r>
        <w:rPr>
          <w:rFonts w:hint="eastAsia" w:ascii="仿宋_GB2312" w:hAnsi="仿宋_GB2312" w:eastAsia="仿宋_GB2312" w:cs="仿宋_GB2312"/>
          <w:color w:val="auto"/>
          <w:lang w:val="en-US" w:eastAsia="zh-CN"/>
        </w:rPr>
        <w:t>永安街道双龙社区“幸福合伙人”入选全省城乡社区治理十佳创新案例，美好环境与幸福生活共同缔造扩面到13个整村（社区）168个试点。</w:t>
      </w:r>
      <w:r>
        <w:rPr>
          <w:rFonts w:hint="eastAsia" w:ascii="仿宋_GB2312" w:hAnsi="仿宋_GB2312" w:eastAsia="仿宋_GB2312" w:cs="仿宋_GB2312"/>
          <w:color w:val="auto"/>
          <w:szCs w:val="32"/>
          <w:lang w:val="en-US" w:eastAsia="zh-CN"/>
        </w:rPr>
        <w:t>行政执法公示、执法全过程记录和重大执法决定法制审核三项制度全面推行，行政执法责任制和问责制全面落实。</w:t>
      </w:r>
      <w:r>
        <w:rPr>
          <w:rFonts w:hint="eastAsia" w:ascii="仿宋_GB2312" w:hAnsi="仿宋_GB2312" w:eastAsia="仿宋_GB2312" w:cs="仿宋_GB2312"/>
          <w:color w:val="auto"/>
          <w:sz w:val="32"/>
          <w:szCs w:val="32"/>
          <w:lang w:val="en-US" w:eastAsia="zh-CN"/>
        </w:rPr>
        <w:t>在全区普遍开展“民主法治示范村（社区）”创建活动，乡村两级法治文化阵地覆盖率达到88%。</w:t>
      </w:r>
    </w:p>
    <w:p w14:paraId="5EE77204">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安全生产和防灾减灾形势总体平稳。</w:t>
      </w:r>
      <w:r>
        <w:rPr>
          <w:rFonts w:hint="eastAsia" w:ascii="仿宋_GB2312" w:hAnsi="仿宋_GB2312" w:eastAsia="仿宋_GB2312" w:cs="仿宋_GB2312"/>
          <w:color w:val="auto"/>
          <w:lang w:val="en-US" w:eastAsia="zh-CN"/>
        </w:rPr>
        <w:t>深入开展安全生产专项整治巩固提升行动，强化打非治违，压实安全责任，亿元GDP安全事故死亡率和十万工矿商贸企业从业人员安全事故死亡率均低于国家、省、市平均水平。累计排查自建房屋13万余栋，对存在安全隐患的全部落实整治措施。加强自然灾害防治，建立咸安区应急管理局综合监管平台，基本完成第一次全国自然灾害综合风险普查工作，形成综合风险数据库，66处地灾隐患点全面落实“一险一案、一点一策”制度，防灾减灾工作进入全省前列。科学应对洪涝灾害和极端高温干旱天气，及时启动防汛抗旱和森林防火应急响应机制，最大限度减少灾害损失，保障城乡居民生命财产安全，2021年水利和湖泊局被授予湖北省防汛救灾先进集体称号。</w:t>
      </w:r>
    </w:p>
    <w:p w14:paraId="234A91CD">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社会大局平安稳定。</w:t>
      </w:r>
      <w:r>
        <w:rPr>
          <w:rFonts w:hint="eastAsia" w:ascii="仿宋_GB2312" w:hAnsi="仿宋_GB2312" w:eastAsia="仿宋_GB2312" w:cs="仿宋_GB2312"/>
          <w:color w:val="auto"/>
          <w:lang w:val="en-US" w:eastAsia="zh-CN"/>
        </w:rPr>
        <w:t>平安网络织密扎牢，全面推进区镇村三级综治中心和人民调解中心规范化建设，“一村一辅警”作用发挥明显，扎实开展平安建设十大行动，常态化推进扫黑除恶斗争，严厉打击枪爆刀、黄赌毒、食药环、电信网络诈骗、养老诈骗等突出违法犯罪，社会大局保持稳定。国防动员、双拥共建、优抚安置等工作取得新进展，科普、保密、档案、史志、工商联、民族宗教、机关事务等工作实现新发展，妇女儿童、共青团、工会、残联、关心下一代、老龄等事业开创新局面。</w:t>
      </w:r>
    </w:p>
    <w:p w14:paraId="4815F132">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eastAsia="zh-CN"/>
        </w:rPr>
      </w:pPr>
      <w:bookmarkStart w:id="45" w:name="_Toc13533"/>
      <w:bookmarkStart w:id="46" w:name="_Toc19493"/>
      <w:bookmarkStart w:id="47" w:name="_Toc30652"/>
      <w:bookmarkStart w:id="48" w:name="_Toc531593575"/>
      <w:r>
        <w:rPr>
          <w:rFonts w:hint="eastAsia" w:ascii="楷体_GB2312" w:hAnsi="楷体_GB2312" w:eastAsia="楷体_GB2312" w:cs="楷体_GB2312"/>
          <w:color w:val="auto"/>
          <w:lang w:eastAsia="zh-CN"/>
        </w:rPr>
        <w:t>（</w:t>
      </w:r>
      <w:r>
        <w:rPr>
          <w:rFonts w:hint="eastAsia" w:ascii="楷体_GB2312" w:hAnsi="楷体_GB2312" w:eastAsia="楷体_GB2312" w:cs="楷体_GB2312"/>
          <w:color w:val="auto"/>
          <w:lang w:val="en-US" w:eastAsia="zh-CN"/>
        </w:rPr>
        <w:t>三</w:t>
      </w:r>
      <w:r>
        <w:rPr>
          <w:rFonts w:hint="eastAsia" w:ascii="楷体_GB2312" w:hAnsi="楷体_GB2312" w:eastAsia="楷体_GB2312" w:cs="楷体_GB2312"/>
          <w:color w:val="auto"/>
          <w:lang w:eastAsia="zh-CN"/>
        </w:rPr>
        <w:t>）重大项目实施情况</w:t>
      </w:r>
      <w:bookmarkEnd w:id="27"/>
      <w:bookmarkEnd w:id="28"/>
      <w:bookmarkEnd w:id="29"/>
      <w:bookmarkEnd w:id="45"/>
      <w:bookmarkEnd w:id="46"/>
      <w:bookmarkEnd w:id="47"/>
      <w:bookmarkEnd w:id="48"/>
    </w:p>
    <w:p w14:paraId="6E0D9D2F">
      <w:pPr>
        <w:pStyle w:val="6"/>
        <w:pageBreakBefore w:val="0"/>
        <w:widowControl w:val="0"/>
        <w:kinsoku/>
        <w:wordWrap/>
        <w:overflowPunct/>
        <w:topLinePunct w:val="0"/>
        <w:autoSpaceDE/>
        <w:autoSpaceDN/>
        <w:bidi w:val="0"/>
        <w:adjustRightInd w:val="0"/>
        <w:snapToGrid w:val="0"/>
        <w:spacing w:beforeLines="0" w:afterLines="0" w:line="560" w:lineRule="exact"/>
        <w:textAlignment w:val="auto"/>
        <w:rPr>
          <w:rFonts w:hint="eastAsia" w:ascii="仿宋_GB2312" w:hAnsi="仿宋_GB2312" w:eastAsia="仿宋_GB2312" w:cs="仿宋_GB2312"/>
          <w:color w:val="auto"/>
          <w:lang w:val="en-US"/>
        </w:rPr>
      </w:pPr>
      <w:r>
        <w:rPr>
          <w:rFonts w:hint="eastAsia" w:ascii="仿宋_GB2312" w:hAnsi="仿宋_GB2312" w:eastAsia="仿宋_GB2312" w:cs="仿宋_GB2312"/>
          <w:color w:val="auto"/>
          <w:lang w:val="en-US" w:eastAsia="zh-CN"/>
        </w:rPr>
        <w:t>1. 有效投资逐渐回落到中低速增长</w:t>
      </w:r>
    </w:p>
    <w:p w14:paraId="58224AF0">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highlight w:val="red"/>
          <w:lang w:val="en-US" w:eastAsia="zh-CN"/>
        </w:rPr>
      </w:pPr>
      <w:r>
        <w:rPr>
          <w:rFonts w:hint="eastAsia" w:ascii="仿宋_GB2312" w:hAnsi="仿宋_GB2312" w:eastAsia="仿宋_GB2312" w:cs="仿宋_GB2312"/>
          <w:b w:val="0"/>
          <w:bCs w:val="0"/>
          <w:color w:val="auto"/>
          <w:lang w:val="en-US" w:eastAsia="zh-CN"/>
        </w:rPr>
        <w:t>全区固定资产投资增速从2021年扭负为正，</w:t>
      </w:r>
      <w:r>
        <w:rPr>
          <w:rFonts w:hint="eastAsia" w:ascii="仿宋_GB2312" w:hAnsi="仿宋_GB2312" w:eastAsia="仿宋_GB2312" w:cs="仿宋_GB2312"/>
          <w:color w:val="auto"/>
        </w:rPr>
        <w:t>20</w:t>
      </w:r>
      <w:r>
        <w:rPr>
          <w:rFonts w:hint="eastAsia" w:ascii="仿宋_GB2312" w:hAnsi="仿宋_GB2312" w:eastAsia="仿宋_GB2312" w:cs="仿宋_GB2312"/>
          <w:color w:val="auto"/>
          <w:lang w:val="en-US" w:eastAsia="zh-CN"/>
        </w:rPr>
        <w:t>21</w:t>
      </w:r>
      <w:r>
        <w:rPr>
          <w:rFonts w:hint="eastAsia" w:ascii="仿宋_GB2312" w:hAnsi="仿宋_GB2312" w:eastAsia="仿宋_GB2312" w:cs="仿宋_GB2312"/>
          <w:color w:val="auto"/>
        </w:rPr>
        <w:t>年、</w:t>
      </w:r>
      <w:r>
        <w:rPr>
          <w:rFonts w:hint="eastAsia" w:ascii="仿宋_GB2312" w:hAnsi="仿宋_GB2312" w:eastAsia="仿宋_GB2312" w:cs="仿宋_GB2312"/>
          <w:color w:val="auto"/>
          <w:lang w:val="en-US" w:eastAsia="zh-CN"/>
        </w:rPr>
        <w:t>2022</w:t>
      </w:r>
      <w:r>
        <w:rPr>
          <w:rFonts w:hint="eastAsia" w:ascii="仿宋_GB2312" w:hAnsi="仿宋_GB2312" w:eastAsia="仿宋_GB2312" w:cs="仿宋_GB2312"/>
          <w:color w:val="auto"/>
        </w:rPr>
        <w:t>年</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2023上半年</w:t>
      </w:r>
      <w:r>
        <w:rPr>
          <w:rFonts w:hint="eastAsia" w:ascii="仿宋_GB2312" w:hAnsi="仿宋_GB2312" w:eastAsia="仿宋_GB2312" w:cs="仿宋_GB2312"/>
          <w:color w:val="auto"/>
        </w:rPr>
        <w:t>分别增长26.70%</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17.80%</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7.9%</w:t>
      </w:r>
      <w:r>
        <w:rPr>
          <w:rFonts w:hint="eastAsia" w:ascii="仿宋_GB2312" w:hAnsi="仿宋_GB2312" w:eastAsia="仿宋_GB2312" w:cs="仿宋_GB2312"/>
          <w:color w:val="auto"/>
        </w:rPr>
        <w:t>，分别高于</w:t>
      </w:r>
      <w:r>
        <w:rPr>
          <w:rFonts w:hint="eastAsia" w:ascii="仿宋_GB2312" w:hAnsi="仿宋_GB2312" w:eastAsia="仿宋_GB2312" w:cs="仿宋_GB2312"/>
          <w:color w:val="auto"/>
          <w:lang w:val="en-US" w:eastAsia="zh-CN"/>
        </w:rPr>
        <w:t>全市1.80、0.6、4.8个百分点，高于</w:t>
      </w:r>
      <w:r>
        <w:rPr>
          <w:rFonts w:hint="eastAsia" w:ascii="仿宋_GB2312" w:hAnsi="仿宋_GB2312" w:eastAsia="仿宋_GB2312" w:cs="仿宋_GB2312"/>
          <w:color w:val="auto"/>
        </w:rPr>
        <w:t>全省6.3</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2.8</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2.7个百分点</w:t>
      </w: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eastAsia="仿宋_GB2312" w:cs="仿宋_GB2312"/>
          <w:color w:val="auto"/>
          <w:lang w:val="en-US" w:eastAsia="zh-CN"/>
        </w:rPr>
        <w:t>房地产投资保持稳健增长，</w:t>
      </w:r>
      <w:r>
        <w:rPr>
          <w:rFonts w:hint="eastAsia" w:ascii="仿宋_GB2312" w:hAnsi="仿宋_GB2312" w:eastAsia="仿宋_GB2312" w:cs="仿宋_GB2312"/>
          <w:color w:val="auto"/>
          <w:highlight w:val="none"/>
          <w:lang w:val="en-US" w:eastAsia="zh-CN"/>
        </w:rPr>
        <w:t>2021年、2022年、2023上半年全区房地产投资增速分别为24%、19.70%、28.10%。</w:t>
      </w:r>
      <w:r>
        <w:rPr>
          <w:rFonts w:hint="eastAsia" w:ascii="仿宋_GB2312" w:hAnsi="仿宋_GB2312" w:eastAsia="仿宋_GB2312" w:cs="仿宋_GB2312"/>
          <w:color w:val="auto"/>
        </w:rPr>
        <w:t>工业投资</w:t>
      </w:r>
      <w:r>
        <w:rPr>
          <w:rFonts w:hint="eastAsia" w:ascii="仿宋_GB2312" w:hAnsi="仿宋_GB2312" w:eastAsia="仿宋_GB2312" w:cs="仿宋_GB2312"/>
          <w:color w:val="auto"/>
          <w:lang w:val="en-US" w:eastAsia="zh-CN"/>
        </w:rPr>
        <w:t>承压前行，2021年、2022年、2023上半年全区工业投资增速分别为10.40%、20.20%、-4.20%。民间投资</w:t>
      </w:r>
      <w:r>
        <w:rPr>
          <w:rFonts w:hint="eastAsia" w:ascii="仿宋_GB2312" w:hAnsi="仿宋_GB2312" w:eastAsia="仿宋_GB2312" w:cs="仿宋_GB2312"/>
          <w:color w:val="auto"/>
          <w:highlight w:val="none"/>
          <w:lang w:val="en-US" w:eastAsia="zh-CN"/>
        </w:rPr>
        <w:t>热情不减，2021年、2022年、2023上半年民间投资占比分别为67%、62.1%、76.5%。政府投资力度持续加大，2021年-2023上半年累计争取政府专项债券20.54亿元、中央和省预算内投资3.21亿元。</w:t>
      </w:r>
    </w:p>
    <w:p w14:paraId="54C73791">
      <w:pPr>
        <w:pStyle w:val="6"/>
        <w:pageBreakBefore w:val="0"/>
        <w:widowControl w:val="0"/>
        <w:kinsoku/>
        <w:wordWrap/>
        <w:overflowPunct/>
        <w:topLinePunct w:val="0"/>
        <w:autoSpaceDE/>
        <w:autoSpaceDN/>
        <w:bidi w:val="0"/>
        <w:adjustRightInd w:val="0"/>
        <w:snapToGrid w:val="0"/>
        <w:spacing w:beforeLines="0" w:afterLines="0" w:line="56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 xml:space="preserve">2. </w:t>
      </w:r>
      <w:r>
        <w:rPr>
          <w:rFonts w:hint="eastAsia" w:ascii="仿宋_GB2312" w:hAnsi="仿宋_GB2312" w:eastAsia="仿宋_GB2312" w:cs="仿宋_GB2312"/>
          <w:color w:val="auto"/>
        </w:rPr>
        <w:t>重点项目</w:t>
      </w:r>
      <w:r>
        <w:rPr>
          <w:rFonts w:hint="eastAsia" w:ascii="仿宋_GB2312" w:hAnsi="仿宋_GB2312" w:eastAsia="仿宋_GB2312" w:cs="仿宋_GB2312"/>
          <w:color w:val="auto"/>
          <w:lang w:val="en-US" w:eastAsia="zh-CN"/>
        </w:rPr>
        <w:t>建设加快</w:t>
      </w:r>
    </w:p>
    <w:p w14:paraId="5C972FEC">
      <w:pPr>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累计</w:t>
      </w:r>
      <w:r>
        <w:rPr>
          <w:rFonts w:hint="eastAsia" w:ascii="仿宋_GB2312" w:hAnsi="仿宋_GB2312" w:eastAsia="仿宋_GB2312" w:cs="仿宋_GB2312"/>
          <w:color w:val="auto"/>
          <w:lang w:val="en-US" w:eastAsia="zh-CN"/>
        </w:rPr>
        <w:t>实施敏实汽车零部件、中广核向阳湖宝塔80兆瓦渔光互补项目、咸宁市职业教育中心、107国道咸安绕城段等</w:t>
      </w:r>
      <w:r>
        <w:rPr>
          <w:rFonts w:hint="eastAsia" w:ascii="仿宋_GB2312" w:hAnsi="仿宋_GB2312" w:eastAsia="仿宋_GB2312" w:cs="仿宋_GB2312"/>
          <w:color w:val="auto"/>
        </w:rPr>
        <w:t>省级重点项目</w:t>
      </w:r>
      <w:r>
        <w:rPr>
          <w:rFonts w:hint="eastAsia" w:ascii="仿宋_GB2312" w:hAnsi="仿宋_GB2312" w:eastAsia="仿宋_GB2312" w:cs="仿宋_GB2312"/>
          <w:color w:val="auto"/>
          <w:lang w:val="en-US" w:eastAsia="zh-CN"/>
        </w:rPr>
        <w:t>12</w:t>
      </w:r>
      <w:r>
        <w:rPr>
          <w:rFonts w:hint="eastAsia" w:ascii="仿宋_GB2312" w:hAnsi="仿宋_GB2312" w:eastAsia="仿宋_GB2312" w:cs="仿宋_GB2312"/>
          <w:color w:val="auto"/>
        </w:rPr>
        <w:t>个，总投资</w:t>
      </w:r>
      <w:r>
        <w:rPr>
          <w:rFonts w:hint="eastAsia" w:ascii="仿宋_GB2312" w:hAnsi="仿宋_GB2312" w:eastAsia="仿宋_GB2312" w:cs="仿宋_GB2312"/>
          <w:color w:val="auto"/>
          <w:lang w:val="en-US" w:eastAsia="zh-CN"/>
        </w:rPr>
        <w:t>216.16</w:t>
      </w:r>
      <w:r>
        <w:rPr>
          <w:rFonts w:hint="eastAsia" w:ascii="仿宋_GB2312" w:hAnsi="仿宋_GB2312" w:eastAsia="仿宋_GB2312" w:cs="仿宋_GB2312"/>
          <w:color w:val="auto"/>
        </w:rPr>
        <w:t>亿元，累计完成投资</w:t>
      </w:r>
      <w:r>
        <w:rPr>
          <w:rFonts w:hint="eastAsia" w:ascii="仿宋_GB2312" w:hAnsi="仿宋_GB2312" w:eastAsia="仿宋_GB2312" w:cs="仿宋_GB2312"/>
          <w:color w:val="auto"/>
          <w:lang w:val="en-US" w:eastAsia="zh-CN"/>
        </w:rPr>
        <w:t>83.63</w:t>
      </w:r>
      <w:r>
        <w:rPr>
          <w:rFonts w:hint="eastAsia" w:ascii="仿宋_GB2312" w:hAnsi="仿宋_GB2312" w:eastAsia="仿宋_GB2312" w:cs="仿宋_GB2312"/>
          <w:color w:val="auto"/>
        </w:rPr>
        <w:t>亿元，</w:t>
      </w:r>
      <w:r>
        <w:rPr>
          <w:rFonts w:hint="eastAsia" w:ascii="仿宋_GB2312" w:hAnsi="仿宋_GB2312" w:eastAsia="仿宋_GB2312" w:cs="仿宋_GB2312"/>
          <w:color w:val="auto"/>
          <w:lang w:val="en-US" w:eastAsia="zh-CN"/>
        </w:rPr>
        <w:t>中期累计</w:t>
      </w:r>
      <w:r>
        <w:rPr>
          <w:rFonts w:hint="eastAsia" w:ascii="仿宋_GB2312" w:hAnsi="仿宋_GB2312" w:eastAsia="仿宋_GB2312" w:cs="仿宋_GB2312"/>
          <w:color w:val="auto"/>
        </w:rPr>
        <w:t>完成计划投资的</w:t>
      </w:r>
      <w:r>
        <w:rPr>
          <w:rFonts w:hint="eastAsia" w:ascii="仿宋_GB2312" w:hAnsi="仿宋_GB2312" w:eastAsia="仿宋_GB2312" w:cs="仿宋_GB2312"/>
          <w:color w:val="auto"/>
          <w:lang w:val="en-US" w:eastAsia="zh-CN"/>
        </w:rPr>
        <w:t>182</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累计实施华劲铝业、真奥药业改扩建二期、S208咸安区甘鲁至毛坪段改建工程、香城大道、洞口片区棚改等市级</w:t>
      </w:r>
      <w:r>
        <w:rPr>
          <w:rFonts w:hint="eastAsia" w:ascii="仿宋_GB2312" w:hAnsi="仿宋_GB2312" w:eastAsia="仿宋_GB2312" w:cs="仿宋_GB2312"/>
          <w:color w:val="auto"/>
        </w:rPr>
        <w:t>重点项目</w:t>
      </w:r>
      <w:r>
        <w:rPr>
          <w:rFonts w:hint="eastAsia" w:ascii="仿宋_GB2312" w:hAnsi="仿宋_GB2312" w:eastAsia="仿宋_GB2312" w:cs="仿宋_GB2312"/>
          <w:color w:val="auto"/>
          <w:lang w:val="en-US" w:eastAsia="zh-CN"/>
        </w:rPr>
        <w:t>61</w:t>
      </w:r>
      <w:r>
        <w:rPr>
          <w:rFonts w:hint="eastAsia" w:ascii="仿宋_GB2312" w:hAnsi="仿宋_GB2312" w:eastAsia="仿宋_GB2312" w:cs="仿宋_GB2312"/>
          <w:color w:val="auto"/>
        </w:rPr>
        <w:t>个，总投资</w:t>
      </w:r>
      <w:r>
        <w:rPr>
          <w:rFonts w:hint="eastAsia" w:ascii="仿宋_GB2312" w:hAnsi="仿宋_GB2312" w:eastAsia="仿宋_GB2312" w:cs="仿宋_GB2312"/>
          <w:color w:val="auto"/>
          <w:lang w:val="en-US" w:eastAsia="zh-CN"/>
        </w:rPr>
        <w:t>408.15</w:t>
      </w:r>
      <w:r>
        <w:rPr>
          <w:rFonts w:hint="eastAsia" w:ascii="仿宋_GB2312" w:hAnsi="仿宋_GB2312" w:eastAsia="仿宋_GB2312" w:cs="仿宋_GB2312"/>
          <w:color w:val="auto"/>
        </w:rPr>
        <w:t>亿元，累计完成投资128.22亿元，</w:t>
      </w:r>
      <w:r>
        <w:rPr>
          <w:rFonts w:hint="eastAsia" w:ascii="仿宋_GB2312" w:hAnsi="仿宋_GB2312" w:eastAsia="仿宋_GB2312" w:cs="仿宋_GB2312"/>
          <w:color w:val="auto"/>
          <w:lang w:val="en-US" w:eastAsia="zh-CN"/>
        </w:rPr>
        <w:t>中期</w:t>
      </w:r>
      <w:r>
        <w:rPr>
          <w:rFonts w:hint="eastAsia" w:ascii="仿宋_GB2312" w:hAnsi="仿宋_GB2312" w:eastAsia="仿宋_GB2312" w:cs="仿宋_GB2312"/>
          <w:color w:val="auto"/>
        </w:rPr>
        <w:t>累计完成计划投资的1</w:t>
      </w:r>
      <w:r>
        <w:rPr>
          <w:rFonts w:hint="eastAsia" w:ascii="仿宋_GB2312" w:hAnsi="仿宋_GB2312" w:eastAsia="仿宋_GB2312" w:cs="仿宋_GB2312"/>
          <w:color w:val="auto"/>
          <w:lang w:val="en-US" w:eastAsia="zh-CN"/>
        </w:rPr>
        <w:t>10</w:t>
      </w:r>
      <w:r>
        <w:rPr>
          <w:rFonts w:hint="eastAsia" w:ascii="仿宋_GB2312" w:hAnsi="仿宋_GB2312" w:eastAsia="仿宋_GB2312" w:cs="仿宋_GB2312"/>
          <w:color w:val="auto"/>
        </w:rPr>
        <w:t>%</w:t>
      </w:r>
      <w:r>
        <w:rPr>
          <w:rFonts w:hint="eastAsia" w:ascii="仿宋_GB2312" w:hAnsi="仿宋_GB2312" w:eastAsia="仿宋_GB2312" w:cs="仿宋_GB2312"/>
          <w:color w:val="auto"/>
          <w:lang w:eastAsia="zh-CN"/>
        </w:rPr>
        <w:t>。</w:t>
      </w:r>
    </w:p>
    <w:p w14:paraId="7B6518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黑体" w:cs="Times New Roman"/>
          <w:color w:val="auto"/>
          <w:sz w:val="28"/>
          <w:szCs w:val="28"/>
          <w:lang w:val="en-US" w:eastAsia="zh-CN"/>
        </w:rPr>
      </w:pPr>
    </w:p>
    <w:p w14:paraId="13F6A6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表1：咸安区“十四五”省市级重大项目实施情况</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2197"/>
        <w:gridCol w:w="1084"/>
        <w:gridCol w:w="1068"/>
        <w:gridCol w:w="1831"/>
        <w:gridCol w:w="996"/>
        <w:gridCol w:w="755"/>
      </w:tblGrid>
      <w:tr w14:paraId="417F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trPr>
        <w:tc>
          <w:tcPr>
            <w:tcW w:w="1716" w:type="pct"/>
            <w:gridSpan w:val="2"/>
            <w:shd w:val="clear" w:color="auto" w:fill="C7DAF1"/>
            <w:noWrap w:val="0"/>
            <w:vAlign w:val="center"/>
          </w:tcPr>
          <w:p w14:paraId="4EEA06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lang w:val="en-US" w:eastAsia="zh-CN"/>
              </w:rPr>
              <w:t>项目类型</w:t>
            </w:r>
          </w:p>
        </w:tc>
        <w:tc>
          <w:tcPr>
            <w:tcW w:w="620" w:type="pct"/>
            <w:shd w:val="clear" w:color="auto" w:fill="C7DAF1"/>
            <w:noWrap w:val="0"/>
            <w:vAlign w:val="center"/>
          </w:tcPr>
          <w:p w14:paraId="0FDE11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lang w:val="en-US" w:eastAsia="zh-CN"/>
              </w:rPr>
              <w:t>2021年</w:t>
            </w:r>
          </w:p>
        </w:tc>
        <w:tc>
          <w:tcPr>
            <w:tcW w:w="611" w:type="pct"/>
            <w:shd w:val="clear" w:color="auto" w:fill="C7DAF1"/>
            <w:noWrap w:val="0"/>
            <w:vAlign w:val="center"/>
          </w:tcPr>
          <w:p w14:paraId="69079F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lang w:val="en-US" w:eastAsia="zh-CN"/>
              </w:rPr>
              <w:t>2022年</w:t>
            </w:r>
          </w:p>
        </w:tc>
        <w:tc>
          <w:tcPr>
            <w:tcW w:w="1048" w:type="pct"/>
            <w:shd w:val="clear" w:color="auto" w:fill="C7DAF1"/>
            <w:noWrap w:val="0"/>
            <w:vAlign w:val="center"/>
          </w:tcPr>
          <w:p w14:paraId="70FF81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lang w:val="en-US" w:eastAsia="zh-CN"/>
              </w:rPr>
              <w:t>2023年上半年</w:t>
            </w:r>
          </w:p>
        </w:tc>
        <w:tc>
          <w:tcPr>
            <w:tcW w:w="570" w:type="pct"/>
            <w:shd w:val="clear" w:color="auto" w:fill="C7DAF1"/>
            <w:noWrap w:val="0"/>
            <w:vAlign w:val="center"/>
          </w:tcPr>
          <w:p w14:paraId="37CA35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lang w:val="en-US" w:eastAsia="zh-CN"/>
              </w:rPr>
              <w:t>累计</w:t>
            </w:r>
          </w:p>
        </w:tc>
        <w:tc>
          <w:tcPr>
            <w:tcW w:w="432" w:type="pct"/>
            <w:shd w:val="clear" w:color="auto" w:fill="C7DAF1"/>
            <w:noWrap w:val="0"/>
            <w:vAlign w:val="center"/>
          </w:tcPr>
          <w:p w14:paraId="44C322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lang w:val="en-US" w:eastAsia="zh-CN"/>
              </w:rPr>
              <w:t>备注</w:t>
            </w:r>
          </w:p>
        </w:tc>
      </w:tr>
      <w:tr w14:paraId="76EA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58" w:type="pct"/>
            <w:vMerge w:val="restart"/>
            <w:noWrap w:val="0"/>
            <w:vAlign w:val="center"/>
          </w:tcPr>
          <w:p w14:paraId="62805A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lang w:val="en-US" w:eastAsia="zh-CN"/>
              </w:rPr>
              <w:t>省级重点项目</w:t>
            </w:r>
          </w:p>
        </w:tc>
        <w:tc>
          <w:tcPr>
            <w:tcW w:w="1257" w:type="pct"/>
            <w:noWrap w:val="0"/>
            <w:vAlign w:val="center"/>
          </w:tcPr>
          <w:p w14:paraId="412B9C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个数</w:t>
            </w:r>
          </w:p>
        </w:tc>
        <w:tc>
          <w:tcPr>
            <w:tcW w:w="620" w:type="pct"/>
            <w:noWrap/>
            <w:vAlign w:val="center"/>
          </w:tcPr>
          <w:p w14:paraId="1FD8A7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w:t>
            </w:r>
          </w:p>
        </w:tc>
        <w:tc>
          <w:tcPr>
            <w:tcW w:w="611" w:type="pct"/>
            <w:noWrap w:val="0"/>
            <w:vAlign w:val="center"/>
          </w:tcPr>
          <w:p w14:paraId="7E2DB4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w:t>
            </w:r>
          </w:p>
        </w:tc>
        <w:tc>
          <w:tcPr>
            <w:tcW w:w="1048" w:type="pct"/>
            <w:noWrap w:val="0"/>
            <w:vAlign w:val="center"/>
          </w:tcPr>
          <w:p w14:paraId="5738D4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w:t>
            </w:r>
          </w:p>
        </w:tc>
        <w:tc>
          <w:tcPr>
            <w:tcW w:w="570" w:type="pct"/>
            <w:noWrap w:val="0"/>
            <w:vAlign w:val="center"/>
          </w:tcPr>
          <w:p w14:paraId="4D5AD0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12</w:t>
            </w:r>
          </w:p>
        </w:tc>
        <w:tc>
          <w:tcPr>
            <w:tcW w:w="432" w:type="pct"/>
            <w:vMerge w:val="restart"/>
            <w:noWrap w:val="0"/>
            <w:vAlign w:val="center"/>
          </w:tcPr>
          <w:p w14:paraId="2AC110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扣除1个重复计算</w:t>
            </w:r>
          </w:p>
        </w:tc>
      </w:tr>
      <w:tr w14:paraId="3E07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58" w:type="pct"/>
            <w:vMerge w:val="continue"/>
            <w:noWrap w:val="0"/>
            <w:vAlign w:val="center"/>
          </w:tcPr>
          <w:p w14:paraId="14AF1B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p>
        </w:tc>
        <w:tc>
          <w:tcPr>
            <w:tcW w:w="1257" w:type="pct"/>
            <w:noWrap w:val="0"/>
            <w:vAlign w:val="center"/>
          </w:tcPr>
          <w:p w14:paraId="2192E5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总投资（亿元）</w:t>
            </w:r>
          </w:p>
        </w:tc>
        <w:tc>
          <w:tcPr>
            <w:tcW w:w="620" w:type="pct"/>
            <w:noWrap/>
            <w:vAlign w:val="center"/>
          </w:tcPr>
          <w:p w14:paraId="7107D0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84.20 </w:t>
            </w:r>
          </w:p>
        </w:tc>
        <w:tc>
          <w:tcPr>
            <w:tcW w:w="611" w:type="pct"/>
            <w:noWrap w:val="0"/>
            <w:vAlign w:val="center"/>
          </w:tcPr>
          <w:p w14:paraId="469E6A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116.26 </w:t>
            </w:r>
          </w:p>
        </w:tc>
        <w:tc>
          <w:tcPr>
            <w:tcW w:w="1048" w:type="pct"/>
            <w:noWrap w:val="0"/>
            <w:vAlign w:val="center"/>
          </w:tcPr>
          <w:p w14:paraId="541ED0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29.70 </w:t>
            </w:r>
          </w:p>
        </w:tc>
        <w:tc>
          <w:tcPr>
            <w:tcW w:w="570" w:type="pct"/>
            <w:noWrap w:val="0"/>
            <w:vAlign w:val="center"/>
          </w:tcPr>
          <w:p w14:paraId="5BEB7D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216.16 </w:t>
            </w:r>
          </w:p>
        </w:tc>
        <w:tc>
          <w:tcPr>
            <w:tcW w:w="432" w:type="pct"/>
            <w:vMerge w:val="continue"/>
            <w:noWrap w:val="0"/>
            <w:vAlign w:val="center"/>
          </w:tcPr>
          <w:p w14:paraId="735482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p>
        </w:tc>
      </w:tr>
      <w:tr w14:paraId="56A8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58" w:type="pct"/>
            <w:vMerge w:val="continue"/>
            <w:noWrap w:val="0"/>
            <w:vAlign w:val="center"/>
          </w:tcPr>
          <w:p w14:paraId="56BEE0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p>
        </w:tc>
        <w:tc>
          <w:tcPr>
            <w:tcW w:w="1257" w:type="pct"/>
            <w:noWrap w:val="0"/>
            <w:vAlign w:val="center"/>
          </w:tcPr>
          <w:p w14:paraId="143F29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年度计划投资（亿元）</w:t>
            </w:r>
          </w:p>
        </w:tc>
        <w:tc>
          <w:tcPr>
            <w:tcW w:w="620" w:type="pct"/>
            <w:noWrap/>
            <w:vAlign w:val="center"/>
          </w:tcPr>
          <w:p w14:paraId="1DCB6E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17.00 </w:t>
            </w:r>
          </w:p>
        </w:tc>
        <w:tc>
          <w:tcPr>
            <w:tcW w:w="611" w:type="pct"/>
            <w:noWrap w:val="0"/>
            <w:vAlign w:val="center"/>
          </w:tcPr>
          <w:p w14:paraId="4CB415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19.50 </w:t>
            </w:r>
          </w:p>
        </w:tc>
        <w:tc>
          <w:tcPr>
            <w:tcW w:w="1048" w:type="pct"/>
            <w:noWrap w:val="0"/>
            <w:vAlign w:val="center"/>
          </w:tcPr>
          <w:p w14:paraId="2A4C28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9.50 </w:t>
            </w:r>
          </w:p>
        </w:tc>
        <w:tc>
          <w:tcPr>
            <w:tcW w:w="570" w:type="pct"/>
            <w:noWrap w:val="0"/>
            <w:vAlign w:val="center"/>
          </w:tcPr>
          <w:p w14:paraId="2BF46C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46.00 </w:t>
            </w:r>
          </w:p>
        </w:tc>
        <w:tc>
          <w:tcPr>
            <w:tcW w:w="432" w:type="pct"/>
            <w:vMerge w:val="continue"/>
            <w:noWrap w:val="0"/>
            <w:vAlign w:val="center"/>
          </w:tcPr>
          <w:p w14:paraId="40D154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p>
        </w:tc>
      </w:tr>
      <w:tr w14:paraId="51B9C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58" w:type="pct"/>
            <w:vMerge w:val="continue"/>
            <w:noWrap w:val="0"/>
            <w:vAlign w:val="center"/>
          </w:tcPr>
          <w:p w14:paraId="35BD95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p>
        </w:tc>
        <w:tc>
          <w:tcPr>
            <w:tcW w:w="1257" w:type="pct"/>
            <w:noWrap w:val="0"/>
            <w:vAlign w:val="center"/>
          </w:tcPr>
          <w:p w14:paraId="60A393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完成投资（亿元）</w:t>
            </w:r>
          </w:p>
        </w:tc>
        <w:tc>
          <w:tcPr>
            <w:tcW w:w="620" w:type="pct"/>
            <w:noWrap/>
            <w:vAlign w:val="center"/>
          </w:tcPr>
          <w:p w14:paraId="122329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35.99 </w:t>
            </w:r>
          </w:p>
        </w:tc>
        <w:tc>
          <w:tcPr>
            <w:tcW w:w="611" w:type="pct"/>
            <w:noWrap w:val="0"/>
            <w:vAlign w:val="center"/>
          </w:tcPr>
          <w:p w14:paraId="2CCD79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42.64 </w:t>
            </w:r>
          </w:p>
        </w:tc>
        <w:tc>
          <w:tcPr>
            <w:tcW w:w="1048" w:type="pct"/>
            <w:noWrap w:val="0"/>
            <w:vAlign w:val="center"/>
          </w:tcPr>
          <w:p w14:paraId="36D69C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5.01 </w:t>
            </w:r>
          </w:p>
        </w:tc>
        <w:tc>
          <w:tcPr>
            <w:tcW w:w="570" w:type="pct"/>
            <w:noWrap w:val="0"/>
            <w:vAlign w:val="center"/>
          </w:tcPr>
          <w:p w14:paraId="66891D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83.63 </w:t>
            </w:r>
          </w:p>
        </w:tc>
        <w:tc>
          <w:tcPr>
            <w:tcW w:w="432" w:type="pct"/>
            <w:vMerge w:val="continue"/>
            <w:noWrap/>
            <w:vAlign w:val="center"/>
          </w:tcPr>
          <w:p w14:paraId="1EA972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p>
        </w:tc>
      </w:tr>
      <w:tr w14:paraId="6E3F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58" w:type="pct"/>
            <w:vMerge w:val="restart"/>
            <w:noWrap w:val="0"/>
            <w:vAlign w:val="center"/>
          </w:tcPr>
          <w:p w14:paraId="4265E5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lang w:val="en-US" w:eastAsia="zh-CN"/>
              </w:rPr>
              <w:t>市级重点项目</w:t>
            </w:r>
          </w:p>
        </w:tc>
        <w:tc>
          <w:tcPr>
            <w:tcW w:w="1257" w:type="pct"/>
            <w:noWrap w:val="0"/>
            <w:vAlign w:val="center"/>
          </w:tcPr>
          <w:p w14:paraId="000D7A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个数</w:t>
            </w:r>
          </w:p>
        </w:tc>
        <w:tc>
          <w:tcPr>
            <w:tcW w:w="620" w:type="pct"/>
            <w:noWrap/>
            <w:vAlign w:val="center"/>
          </w:tcPr>
          <w:p w14:paraId="0B3CEF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22</w:t>
            </w:r>
          </w:p>
        </w:tc>
        <w:tc>
          <w:tcPr>
            <w:tcW w:w="611" w:type="pct"/>
            <w:noWrap/>
            <w:vAlign w:val="center"/>
          </w:tcPr>
          <w:p w14:paraId="59A43E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22</w:t>
            </w:r>
          </w:p>
        </w:tc>
        <w:tc>
          <w:tcPr>
            <w:tcW w:w="1048" w:type="pct"/>
            <w:noWrap/>
            <w:vAlign w:val="center"/>
          </w:tcPr>
          <w:p w14:paraId="0FA7FE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24</w:t>
            </w:r>
          </w:p>
        </w:tc>
        <w:tc>
          <w:tcPr>
            <w:tcW w:w="570" w:type="pct"/>
            <w:noWrap/>
            <w:vAlign w:val="center"/>
          </w:tcPr>
          <w:p w14:paraId="5CD638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61</w:t>
            </w:r>
          </w:p>
        </w:tc>
        <w:tc>
          <w:tcPr>
            <w:tcW w:w="432" w:type="pct"/>
            <w:vMerge w:val="restart"/>
            <w:noWrap w:val="0"/>
            <w:vAlign w:val="center"/>
          </w:tcPr>
          <w:p w14:paraId="3D9EB5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扣除7个重复计算</w:t>
            </w:r>
          </w:p>
        </w:tc>
      </w:tr>
      <w:tr w14:paraId="3E58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58" w:type="pct"/>
            <w:vMerge w:val="continue"/>
            <w:noWrap w:val="0"/>
            <w:vAlign w:val="center"/>
          </w:tcPr>
          <w:p w14:paraId="4D7EE6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p>
        </w:tc>
        <w:tc>
          <w:tcPr>
            <w:tcW w:w="1257" w:type="pct"/>
            <w:noWrap w:val="0"/>
            <w:vAlign w:val="center"/>
          </w:tcPr>
          <w:p w14:paraId="66F35B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总投资（亿元）</w:t>
            </w:r>
          </w:p>
        </w:tc>
        <w:tc>
          <w:tcPr>
            <w:tcW w:w="620" w:type="pct"/>
            <w:noWrap/>
            <w:vAlign w:val="center"/>
          </w:tcPr>
          <w:p w14:paraId="251190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184.45 </w:t>
            </w:r>
          </w:p>
        </w:tc>
        <w:tc>
          <w:tcPr>
            <w:tcW w:w="611" w:type="pct"/>
            <w:noWrap/>
            <w:vAlign w:val="center"/>
          </w:tcPr>
          <w:p w14:paraId="06A327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179.04 </w:t>
            </w:r>
          </w:p>
        </w:tc>
        <w:tc>
          <w:tcPr>
            <w:tcW w:w="1048" w:type="pct"/>
            <w:noWrap/>
            <w:vAlign w:val="center"/>
          </w:tcPr>
          <w:p w14:paraId="367F2C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129.84 </w:t>
            </w:r>
          </w:p>
        </w:tc>
        <w:tc>
          <w:tcPr>
            <w:tcW w:w="570" w:type="pct"/>
            <w:noWrap/>
            <w:vAlign w:val="center"/>
          </w:tcPr>
          <w:p w14:paraId="0FC840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408.15 </w:t>
            </w:r>
          </w:p>
        </w:tc>
        <w:tc>
          <w:tcPr>
            <w:tcW w:w="432" w:type="pct"/>
            <w:vMerge w:val="continue"/>
            <w:noWrap w:val="0"/>
            <w:vAlign w:val="center"/>
          </w:tcPr>
          <w:p w14:paraId="02F1E5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p>
        </w:tc>
      </w:tr>
      <w:tr w14:paraId="209E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58" w:type="pct"/>
            <w:vMerge w:val="continue"/>
            <w:noWrap w:val="0"/>
            <w:vAlign w:val="center"/>
          </w:tcPr>
          <w:p w14:paraId="744F46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p>
        </w:tc>
        <w:tc>
          <w:tcPr>
            <w:tcW w:w="1257" w:type="pct"/>
            <w:noWrap w:val="0"/>
            <w:vAlign w:val="center"/>
          </w:tcPr>
          <w:p w14:paraId="462955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年度计划投资（亿元）</w:t>
            </w:r>
          </w:p>
        </w:tc>
        <w:tc>
          <w:tcPr>
            <w:tcW w:w="620" w:type="pct"/>
            <w:noWrap/>
            <w:vAlign w:val="center"/>
          </w:tcPr>
          <w:p w14:paraId="3843E0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41.50 </w:t>
            </w:r>
          </w:p>
        </w:tc>
        <w:tc>
          <w:tcPr>
            <w:tcW w:w="611" w:type="pct"/>
            <w:noWrap/>
            <w:vAlign w:val="center"/>
          </w:tcPr>
          <w:p w14:paraId="2C1E73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45.10 </w:t>
            </w:r>
          </w:p>
        </w:tc>
        <w:tc>
          <w:tcPr>
            <w:tcW w:w="1048" w:type="pct"/>
            <w:noWrap/>
            <w:vAlign w:val="center"/>
          </w:tcPr>
          <w:p w14:paraId="42E987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28.50 </w:t>
            </w:r>
          </w:p>
        </w:tc>
        <w:tc>
          <w:tcPr>
            <w:tcW w:w="570" w:type="pct"/>
            <w:noWrap/>
            <w:vAlign w:val="center"/>
          </w:tcPr>
          <w:p w14:paraId="71780D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115.10 </w:t>
            </w:r>
          </w:p>
        </w:tc>
        <w:tc>
          <w:tcPr>
            <w:tcW w:w="432" w:type="pct"/>
            <w:vMerge w:val="continue"/>
            <w:noWrap/>
            <w:vAlign w:val="center"/>
          </w:tcPr>
          <w:p w14:paraId="063359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p>
        </w:tc>
      </w:tr>
      <w:tr w14:paraId="6FD4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58" w:type="pct"/>
            <w:vMerge w:val="continue"/>
            <w:noWrap w:val="0"/>
            <w:vAlign w:val="center"/>
          </w:tcPr>
          <w:p w14:paraId="01E7EB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p>
        </w:tc>
        <w:tc>
          <w:tcPr>
            <w:tcW w:w="1257" w:type="pct"/>
            <w:noWrap w:val="0"/>
            <w:vAlign w:val="center"/>
          </w:tcPr>
          <w:p w14:paraId="62207D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完成投资（亿元）</w:t>
            </w:r>
          </w:p>
        </w:tc>
        <w:tc>
          <w:tcPr>
            <w:tcW w:w="620" w:type="pct"/>
            <w:noWrap/>
            <w:vAlign w:val="center"/>
          </w:tcPr>
          <w:p w14:paraId="30F64D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60.86 </w:t>
            </w:r>
          </w:p>
        </w:tc>
        <w:tc>
          <w:tcPr>
            <w:tcW w:w="611" w:type="pct"/>
            <w:noWrap/>
            <w:vAlign w:val="center"/>
          </w:tcPr>
          <w:p w14:paraId="69D013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44.62</w:t>
            </w:r>
          </w:p>
        </w:tc>
        <w:tc>
          <w:tcPr>
            <w:tcW w:w="1048" w:type="pct"/>
            <w:noWrap/>
            <w:vAlign w:val="center"/>
          </w:tcPr>
          <w:p w14:paraId="1749B1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44.24 </w:t>
            </w:r>
          </w:p>
        </w:tc>
        <w:tc>
          <w:tcPr>
            <w:tcW w:w="570" w:type="pct"/>
            <w:noWrap/>
            <w:vAlign w:val="center"/>
          </w:tcPr>
          <w:p w14:paraId="64A8C3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128.22 </w:t>
            </w:r>
          </w:p>
        </w:tc>
        <w:tc>
          <w:tcPr>
            <w:tcW w:w="432" w:type="pct"/>
            <w:vMerge w:val="continue"/>
            <w:noWrap/>
            <w:vAlign w:val="center"/>
          </w:tcPr>
          <w:p w14:paraId="0E41C3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rPr>
            </w:pPr>
          </w:p>
        </w:tc>
      </w:tr>
    </w:tbl>
    <w:p w14:paraId="72940F0B">
      <w:pPr>
        <w:pStyle w:val="6"/>
        <w:pageBreakBefore w:val="0"/>
        <w:widowControl w:val="0"/>
        <w:kinsoku/>
        <w:wordWrap/>
        <w:overflowPunct/>
        <w:topLinePunct w:val="0"/>
        <w:autoSpaceDE/>
        <w:autoSpaceDN/>
        <w:bidi w:val="0"/>
        <w:adjustRightInd w:val="0"/>
        <w:snapToGrid w:val="0"/>
        <w:spacing w:line="560" w:lineRule="atLeas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 xml:space="preserve">3. </w:t>
      </w:r>
      <w:r>
        <w:rPr>
          <w:rFonts w:hint="eastAsia" w:ascii="仿宋_GB2312" w:hAnsi="仿宋_GB2312" w:eastAsia="仿宋_GB2312" w:cs="仿宋_GB2312"/>
          <w:color w:val="auto"/>
        </w:rPr>
        <w:t>招商引资</w:t>
      </w:r>
      <w:r>
        <w:rPr>
          <w:rFonts w:hint="eastAsia" w:ascii="仿宋_GB2312" w:hAnsi="仿宋_GB2312" w:eastAsia="仿宋_GB2312" w:cs="仿宋_GB2312"/>
          <w:color w:val="auto"/>
          <w:lang w:val="en-US" w:eastAsia="zh-CN"/>
        </w:rPr>
        <w:t>提质增效</w:t>
      </w:r>
    </w:p>
    <w:p w14:paraId="141E0A17">
      <w:pPr>
        <w:pageBreakBefore w:val="0"/>
        <w:widowControl w:val="0"/>
        <w:kinsoku/>
        <w:wordWrap/>
        <w:overflowPunct/>
        <w:topLinePunct w:val="0"/>
        <w:autoSpaceDE/>
        <w:autoSpaceDN/>
        <w:bidi w:val="0"/>
        <w:adjustRightInd w:val="0"/>
        <w:snapToGrid w:val="0"/>
        <w:spacing w:line="560" w:lineRule="atLeast"/>
        <w:textAlignment w:val="auto"/>
        <w:rPr>
          <w:rFonts w:hint="eastAsia" w:ascii="仿宋_GB2312" w:hAnsi="仿宋_GB2312" w:eastAsia="仿宋_GB2312" w:cs="仿宋_GB2312"/>
          <w:color w:val="auto"/>
        </w:rPr>
      </w:pPr>
      <w:r>
        <w:rPr>
          <w:rFonts w:hint="eastAsia" w:ascii="仿宋_GB2312" w:hAnsi="仿宋_GB2312" w:eastAsia="仿宋_GB2312" w:cs="仿宋_GB2312"/>
          <w:b w:val="0"/>
          <w:bCs w:val="0"/>
          <w:color w:val="auto"/>
        </w:rPr>
        <w:t>坚持云招商、商会招商、产业链招商多措并举，成立长三角、珠三角、华中等地区驻点招商小分队</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lang w:val="en-US" w:eastAsia="zh-CN"/>
        </w:rPr>
        <w:t>全区招商引资总金额和项目数量逐年上升，上亿元项目数量稳步增长，由2020年的30个增至2022年49个。重大项目引进卓有成效，</w:t>
      </w:r>
      <w:r>
        <w:rPr>
          <w:rFonts w:hint="eastAsia" w:ascii="仿宋_GB2312" w:hAnsi="仿宋_GB2312" w:eastAsia="仿宋_GB2312" w:cs="仿宋_GB2312"/>
          <w:color w:val="auto"/>
        </w:rPr>
        <w:t>敏实汽车武汉敏惠工厂40条生产线整体迁入，投资4亿元的华劲铝业、投资11.5亿元的精确新能源项目落地开工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惠誉装配式建筑一期已建成投产且产销两旺</w:t>
      </w:r>
      <w:r>
        <w:rPr>
          <w:rFonts w:hint="eastAsia" w:ascii="仿宋_GB2312" w:hAnsi="仿宋_GB2312" w:eastAsia="仿宋_GB2312" w:cs="仿宋_GB2312"/>
          <w:color w:val="auto"/>
        </w:rPr>
        <w:t>。</w:t>
      </w:r>
      <w:r>
        <w:rPr>
          <w:rFonts w:hint="eastAsia" w:ascii="仿宋_GB2312" w:hAnsi="仿宋_GB2312" w:eastAsia="仿宋_GB2312" w:cs="仿宋_GB2312"/>
          <w:color w:val="auto"/>
          <w:lang w:eastAsia="zh-CN"/>
        </w:rPr>
        <w:t>园区基础设施提档升级，</w:t>
      </w:r>
      <w:r>
        <w:rPr>
          <w:rFonts w:hint="eastAsia" w:ascii="仿宋_GB2312" w:hAnsi="仿宋_GB2312" w:eastAsia="仿宋_GB2312" w:cs="仿宋_GB2312"/>
          <w:b w:val="0"/>
          <w:bCs w:val="0"/>
          <w:color w:val="auto"/>
          <w:lang w:eastAsia="zh-CN"/>
        </w:rPr>
        <w:t>推行工业园区“标准地”出让，</w:t>
      </w:r>
      <w:r>
        <w:rPr>
          <w:rFonts w:hint="eastAsia" w:ascii="仿宋_GB2312" w:hAnsi="仿宋_GB2312" w:eastAsia="仿宋_GB2312" w:cs="仿宋_GB2312"/>
          <w:color w:val="auto"/>
        </w:rPr>
        <w:t>凤凰生态科创园一期、欧朗机械军工产业园等项目竣工投产，天逸绿色苎麻产业园、</w:t>
      </w:r>
      <w:r>
        <w:rPr>
          <w:rFonts w:hint="eastAsia" w:ascii="仿宋_GB2312" w:hAnsi="仿宋_GB2312" w:eastAsia="仿宋_GB2312" w:cs="仿宋_GB2312"/>
          <w:color w:val="auto"/>
          <w:lang w:eastAsia="zh-CN"/>
        </w:rPr>
        <w:t>凤凰</w:t>
      </w:r>
      <w:r>
        <w:rPr>
          <w:rFonts w:hint="eastAsia" w:ascii="仿宋_GB2312" w:hAnsi="仿宋_GB2312" w:eastAsia="仿宋_GB2312" w:cs="仿宋_GB2312"/>
          <w:color w:val="auto"/>
        </w:rPr>
        <w:t>人才公寓一期等项目强力推进，共享园区等项目开工建设，园区产业承载能力不断提升。</w:t>
      </w:r>
    </w:p>
    <w:p w14:paraId="34E6A5BA">
      <w:pPr>
        <w:pStyle w:val="2"/>
        <w:ind w:left="0" w:leftChars="0" w:firstLine="0" w:firstLineChars="0"/>
        <w:rPr>
          <w:rFonts w:hint="default" w:ascii="Times New Roman" w:hAnsi="Times New Roman" w:eastAsia="仿宋_GB2312" w:cs="Times New Roman"/>
          <w:color w:val="auto"/>
        </w:rPr>
      </w:pPr>
      <w:r>
        <w:rPr>
          <w:rFonts w:hint="default" w:ascii="Times New Roman" w:hAnsi="Times New Roman" w:eastAsia="仿宋_GB2312" w:cs="Times New Roman"/>
          <w:color w:val="auto"/>
        </w:rPr>
        <w:drawing>
          <wp:inline distT="0" distB="0" distL="114300" distR="114300">
            <wp:extent cx="5271770" cy="2968625"/>
            <wp:effectExtent l="0" t="0" r="11430" b="317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1"/>
                    <a:stretch>
                      <a:fillRect/>
                    </a:stretch>
                  </pic:blipFill>
                  <pic:spPr>
                    <a:xfrm>
                      <a:off x="0" y="0"/>
                      <a:ext cx="5271770" cy="2968625"/>
                    </a:xfrm>
                    <a:prstGeom prst="rect">
                      <a:avLst/>
                    </a:prstGeom>
                    <a:noFill/>
                    <a:ln>
                      <a:noFill/>
                    </a:ln>
                  </pic:spPr>
                </pic:pic>
              </a:graphicData>
            </a:graphic>
          </wp:inline>
        </w:drawing>
      </w:r>
    </w:p>
    <w:p w14:paraId="4F18C943">
      <w:pPr>
        <w:pStyle w:val="4"/>
        <w:keepNext/>
        <w:keepLines/>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Times New Roman" w:hAnsi="Times New Roman" w:eastAsia="黑体" w:cs="Times New Roman"/>
          <w:color w:val="auto"/>
          <w:lang w:eastAsia="zh-CN"/>
        </w:rPr>
      </w:pPr>
      <w:bookmarkStart w:id="49" w:name="_Toc7439"/>
      <w:bookmarkStart w:id="50" w:name="_Toc6128"/>
      <w:bookmarkStart w:id="51" w:name="_Toc10351_WPSOffice_Level1"/>
      <w:bookmarkStart w:id="52" w:name="_Toc32736_WPSOffice_Level1"/>
      <w:bookmarkStart w:id="53" w:name="_Toc27726_WPSOffice_Level1"/>
      <w:bookmarkStart w:id="54" w:name="_Toc531593576"/>
      <w:bookmarkStart w:id="55" w:name="_Toc28283"/>
      <w:r>
        <w:rPr>
          <w:rFonts w:hint="default" w:ascii="Times New Roman" w:hAnsi="Times New Roman" w:cs="Times New Roman"/>
          <w:color w:val="auto"/>
          <w:lang w:val="en-US" w:eastAsia="zh-CN"/>
        </w:rPr>
        <w:t>二</w:t>
      </w:r>
      <w:r>
        <w:rPr>
          <w:rFonts w:hint="default" w:ascii="Times New Roman" w:hAnsi="Times New Roman" w:eastAsia="黑体" w:cs="Times New Roman"/>
          <w:color w:val="auto"/>
        </w:rPr>
        <w:t>、</w:t>
      </w:r>
      <w:r>
        <w:rPr>
          <w:rFonts w:hint="default" w:ascii="Times New Roman" w:hAnsi="Times New Roman" w:eastAsia="黑体" w:cs="Times New Roman"/>
          <w:color w:val="auto"/>
          <w:lang w:val="en-US" w:eastAsia="zh-CN"/>
        </w:rPr>
        <w:t>规划实施</w:t>
      </w:r>
      <w:r>
        <w:rPr>
          <w:rFonts w:hint="default" w:ascii="Times New Roman" w:hAnsi="Times New Roman" w:eastAsia="黑体" w:cs="Times New Roman"/>
          <w:color w:val="auto"/>
        </w:rPr>
        <w:t>存在的问题</w:t>
      </w:r>
      <w:bookmarkEnd w:id="49"/>
      <w:bookmarkEnd w:id="50"/>
      <w:bookmarkEnd w:id="51"/>
      <w:bookmarkEnd w:id="52"/>
      <w:bookmarkEnd w:id="53"/>
      <w:bookmarkEnd w:id="54"/>
      <w:bookmarkEnd w:id="55"/>
    </w:p>
    <w:p w14:paraId="5061FFED">
      <w:pPr>
        <w:pStyle w:val="5"/>
        <w:keepNext/>
        <w:keepLines/>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Times New Roman" w:hAnsi="Times New Roman" w:eastAsia="楷体_GB2312" w:cs="Times New Roman"/>
          <w:color w:val="auto"/>
          <w:lang w:val="en-US" w:eastAsia="zh-CN"/>
        </w:rPr>
      </w:pPr>
      <w:bookmarkStart w:id="56" w:name="_Toc5755"/>
      <w:bookmarkStart w:id="57" w:name="_Toc3601"/>
      <w:bookmarkStart w:id="58" w:name="_Toc12524_WPSOffice_Level2"/>
      <w:bookmarkStart w:id="59" w:name="_Toc897_WPSOffice_Level2"/>
      <w:bookmarkStart w:id="60" w:name="_Toc18744"/>
      <w:bookmarkStart w:id="61" w:name="_Toc531593577"/>
      <w:bookmarkStart w:id="62" w:name="_Toc15120_WPSOffice_Level2"/>
      <w:bookmarkStart w:id="63" w:name="_Toc27001"/>
      <w:bookmarkStart w:id="64" w:name="_Toc1041_WPSOffice_Level1"/>
      <w:bookmarkStart w:id="65" w:name="_Toc22300_WPSOffice_Level1"/>
      <w:bookmarkStart w:id="66" w:name="_Toc5037_WPSOffice_Level1"/>
      <w:bookmarkStart w:id="67" w:name="_Toc531593583"/>
      <w:r>
        <w:rPr>
          <w:rFonts w:hint="default" w:ascii="Times New Roman" w:hAnsi="Times New Roman" w:eastAsia="楷体_GB2312" w:cs="Times New Roman"/>
          <w:color w:val="auto"/>
          <w:lang w:val="en-US" w:eastAsia="zh-CN"/>
        </w:rPr>
        <w:t>（一）对标强县工程，县域经济综合实力不强</w:t>
      </w:r>
      <w:bookmarkEnd w:id="56"/>
      <w:bookmarkEnd w:id="57"/>
    </w:p>
    <w:p w14:paraId="7A0C213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2022年咸安区县域经济总体排名在23个一类县（市、区）中排第20位。其中，城乡居民人均可支配收入</w:t>
      </w:r>
      <w:r>
        <w:rPr>
          <w:rFonts w:ascii="仿宋_GB2312" w:hAnsi="宋体" w:eastAsia="仿宋_GB2312" w:cs="仿宋_GB2312"/>
          <w:i w:val="0"/>
          <w:iCs w:val="0"/>
          <w:caps w:val="0"/>
          <w:color w:val="000000"/>
          <w:spacing w:val="0"/>
          <w:sz w:val="31"/>
          <w:szCs w:val="31"/>
          <w:shd w:val="clear" w:fill="FFFFFF"/>
        </w:rPr>
        <w:t>占比指数</w:t>
      </w:r>
      <w:r>
        <w:rPr>
          <w:rFonts w:hint="eastAsia" w:ascii="仿宋_GB2312" w:hAnsi="仿宋_GB2312" w:eastAsia="仿宋_GB2312" w:cs="仿宋_GB2312"/>
          <w:b w:val="0"/>
          <w:bCs w:val="0"/>
          <w:color w:val="auto"/>
          <w:sz w:val="32"/>
          <w:szCs w:val="32"/>
          <w:lang w:val="en-US" w:eastAsia="zh-CN"/>
        </w:rPr>
        <w:t>、文化和旅游发展指数均排名第1位，万元地区生产总值能耗降低率排名第5位、空气质量优良天数比率排名第6位，科技创新综合指数、常住人口城镇化率均排名第7位，表明咸安区协调发展、创新发展、绿色发展处于同类县（市、区）前列。但咸安区总体质效、开放发展、共享发展排名靠后，表明咸安区县域经济总体实力不强、开放发展和共享发展存在弱项。</w:t>
      </w:r>
    </w:p>
    <w:p w14:paraId="6E155927">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一是县域经济综合质效不高。</w:t>
      </w:r>
      <w:r>
        <w:rPr>
          <w:rFonts w:hint="eastAsia" w:ascii="仿宋_GB2312" w:hAnsi="仿宋_GB2312" w:eastAsia="仿宋_GB2312" w:cs="仿宋_GB2312"/>
          <w:b/>
          <w:bCs/>
          <w:color w:val="auto"/>
          <w:lang w:val="en-US" w:eastAsia="zh-CN"/>
        </w:rPr>
        <w:t>从经济总量和增速看，</w:t>
      </w:r>
      <w:r>
        <w:rPr>
          <w:rFonts w:hint="eastAsia" w:ascii="仿宋_GB2312" w:hAnsi="仿宋_GB2312" w:eastAsia="仿宋_GB2312" w:cs="仿宋_GB2312"/>
          <w:color w:val="auto"/>
          <w:lang w:val="en-US" w:eastAsia="zh-CN"/>
        </w:rPr>
        <w:t>2022年咸安区GDP及增速在全省一类县</w:t>
      </w:r>
      <w:r>
        <w:rPr>
          <w:rFonts w:hint="eastAsia" w:ascii="仿宋_GB2312" w:hAnsi="仿宋_GB2312" w:eastAsia="仿宋_GB2312" w:cs="仿宋_GB2312"/>
          <w:b w:val="0"/>
          <w:bCs w:val="0"/>
          <w:color w:val="auto"/>
          <w:sz w:val="32"/>
          <w:szCs w:val="32"/>
          <w:lang w:val="en-US" w:eastAsia="zh-CN"/>
        </w:rPr>
        <w:t>（市、区）</w:t>
      </w:r>
      <w:r>
        <w:rPr>
          <w:rFonts w:hint="eastAsia" w:ascii="仿宋_GB2312" w:hAnsi="仿宋_GB2312" w:eastAsia="仿宋_GB2312" w:cs="仿宋_GB2312"/>
          <w:color w:val="auto"/>
          <w:lang w:val="en-US" w:eastAsia="zh-CN"/>
        </w:rPr>
        <w:t>中排名第20位，相比2020年下降3位，</w:t>
      </w:r>
      <w:r>
        <w:rPr>
          <w:rFonts w:hint="eastAsia" w:ascii="仿宋_GB2312" w:hAnsi="仿宋_GB2312" w:eastAsia="仿宋_GB2312" w:cs="仿宋_GB2312"/>
          <w:b w:val="0"/>
          <w:bCs w:val="0"/>
          <w:color w:val="auto"/>
          <w:highlight w:val="none"/>
          <w:lang w:val="en-US" w:eastAsia="zh-CN"/>
        </w:rPr>
        <w:t>2022年GDP</w:t>
      </w:r>
      <w:r>
        <w:rPr>
          <w:rFonts w:hint="eastAsia" w:ascii="仿宋_GB2312" w:hAnsi="仿宋_GB2312" w:eastAsia="仿宋_GB2312" w:cs="仿宋_GB2312"/>
          <w:b w:val="0"/>
          <w:bCs w:val="0"/>
          <w:color w:val="auto"/>
          <w:lang w:val="en-US" w:eastAsia="zh-CN"/>
        </w:rPr>
        <w:t>仅为一类县</w:t>
      </w:r>
      <w:r>
        <w:rPr>
          <w:rFonts w:hint="eastAsia" w:ascii="仿宋_GB2312" w:hAnsi="仿宋_GB2312" w:eastAsia="仿宋_GB2312" w:cs="仿宋_GB2312"/>
          <w:b w:val="0"/>
          <w:bCs w:val="0"/>
          <w:color w:val="auto"/>
          <w:sz w:val="32"/>
          <w:szCs w:val="32"/>
          <w:lang w:val="en-US" w:eastAsia="zh-CN"/>
        </w:rPr>
        <w:t>（市、区）</w:t>
      </w:r>
      <w:r>
        <w:rPr>
          <w:rFonts w:hint="eastAsia" w:ascii="仿宋_GB2312" w:hAnsi="仿宋_GB2312" w:eastAsia="仿宋_GB2312" w:cs="仿宋_GB2312"/>
          <w:b w:val="0"/>
          <w:bCs w:val="0"/>
          <w:color w:val="auto"/>
          <w:lang w:val="en-US" w:eastAsia="zh-CN"/>
        </w:rPr>
        <w:t>平均水平的</w:t>
      </w:r>
      <w:r>
        <w:rPr>
          <w:rFonts w:hint="eastAsia" w:ascii="仿宋_GB2312" w:hAnsi="仿宋_GB2312" w:eastAsia="仿宋_GB2312" w:cs="仿宋_GB2312"/>
          <w:b w:val="0"/>
          <w:bCs w:val="0"/>
          <w:color w:val="auto"/>
          <w:sz w:val="32"/>
          <w:szCs w:val="32"/>
          <w:highlight w:val="none"/>
          <w:lang w:val="en-US" w:eastAsia="zh-CN"/>
        </w:rPr>
        <w:t>60.66%，</w:t>
      </w:r>
      <w:r>
        <w:rPr>
          <w:rFonts w:hint="eastAsia" w:ascii="仿宋_GB2312" w:hAnsi="仿宋_GB2312" w:eastAsia="仿宋_GB2312" w:cs="仿宋_GB2312"/>
          <w:b w:val="0"/>
          <w:bCs w:val="0"/>
          <w:color w:val="auto"/>
          <w:lang w:val="en-US" w:eastAsia="zh-CN"/>
        </w:rPr>
        <w:t>GDP增速低于一类</w:t>
      </w:r>
      <w:r>
        <w:rPr>
          <w:rFonts w:hint="eastAsia" w:ascii="仿宋_GB2312" w:hAnsi="仿宋_GB2312" w:eastAsia="仿宋_GB2312" w:cs="仿宋_GB2312"/>
          <w:b w:val="0"/>
          <w:bCs w:val="0"/>
          <w:color w:val="auto"/>
          <w:lang w:eastAsia="zh-CN"/>
        </w:rPr>
        <w:t>县</w:t>
      </w:r>
      <w:r>
        <w:rPr>
          <w:rFonts w:hint="eastAsia" w:ascii="仿宋_GB2312" w:hAnsi="仿宋_GB2312" w:eastAsia="仿宋_GB2312" w:cs="仿宋_GB2312"/>
          <w:b w:val="0"/>
          <w:bCs w:val="0"/>
          <w:color w:val="auto"/>
          <w:sz w:val="32"/>
          <w:szCs w:val="32"/>
          <w:lang w:val="en-US" w:eastAsia="zh-CN"/>
        </w:rPr>
        <w:t>（市、区）</w:t>
      </w:r>
      <w:r>
        <w:rPr>
          <w:rFonts w:hint="eastAsia" w:ascii="仿宋_GB2312" w:hAnsi="仿宋_GB2312" w:eastAsia="仿宋_GB2312" w:cs="仿宋_GB2312"/>
          <w:b w:val="0"/>
          <w:bCs w:val="0"/>
          <w:color w:val="auto"/>
          <w:lang w:val="en-US" w:eastAsia="zh-CN"/>
        </w:rPr>
        <w:t>平</w:t>
      </w:r>
      <w:r>
        <w:rPr>
          <w:rFonts w:hint="eastAsia" w:ascii="仿宋_GB2312" w:hAnsi="仿宋_GB2312" w:eastAsia="仿宋_GB2312" w:cs="仿宋_GB2312"/>
          <w:b w:val="0"/>
          <w:bCs w:val="0"/>
          <w:color w:val="auto"/>
          <w:lang w:eastAsia="zh-CN"/>
        </w:rPr>
        <w:t>均水平</w:t>
      </w:r>
      <w:r>
        <w:rPr>
          <w:rFonts w:hint="eastAsia" w:ascii="仿宋_GB2312" w:hAnsi="仿宋_GB2312" w:eastAsia="仿宋_GB2312" w:cs="仿宋_GB2312"/>
          <w:b w:val="0"/>
          <w:bCs w:val="0"/>
          <w:color w:val="auto"/>
          <w:sz w:val="32"/>
          <w:szCs w:val="32"/>
          <w:highlight w:val="none"/>
          <w:lang w:val="en-US" w:eastAsia="zh-CN"/>
        </w:rPr>
        <w:t>0.9</w:t>
      </w:r>
      <w:r>
        <w:rPr>
          <w:rFonts w:hint="eastAsia" w:ascii="仿宋_GB2312" w:hAnsi="仿宋_GB2312" w:eastAsia="仿宋_GB2312" w:cs="仿宋_GB2312"/>
          <w:b w:val="0"/>
          <w:bCs w:val="0"/>
          <w:color w:val="auto"/>
          <w:lang w:val="en-US" w:eastAsia="zh-CN"/>
        </w:rPr>
        <w:t>个百分点</w:t>
      </w:r>
      <w:r>
        <w:rPr>
          <w:rFonts w:hint="eastAsia" w:ascii="仿宋_GB2312" w:hAnsi="仿宋_GB2312" w:eastAsia="仿宋_GB2312" w:cs="仿宋_GB2312"/>
          <w:color w:val="auto"/>
          <w:highlight w:val="none"/>
          <w:lang w:val="en-US" w:eastAsia="zh-CN"/>
        </w:rPr>
        <w:t>。</w:t>
      </w:r>
      <w:r>
        <w:rPr>
          <w:rFonts w:hint="eastAsia" w:ascii="仿宋_GB2312" w:hAnsi="仿宋_GB2312" w:eastAsia="仿宋_GB2312" w:cs="仿宋_GB2312"/>
          <w:b w:val="0"/>
          <w:bCs w:val="0"/>
          <w:color w:val="auto"/>
          <w:sz w:val="32"/>
          <w:szCs w:val="32"/>
          <w:lang w:val="en" w:eastAsia="zh-CN"/>
        </w:rPr>
        <w:t>综合近年来的考核评价结果，</w:t>
      </w:r>
      <w:r>
        <w:rPr>
          <w:rFonts w:hint="eastAsia" w:ascii="仿宋_GB2312" w:hAnsi="仿宋_GB2312" w:eastAsia="仿宋_GB2312" w:cs="仿宋_GB2312"/>
          <w:color w:val="auto"/>
          <w:lang w:val="en-US" w:eastAsia="zh-CN"/>
        </w:rPr>
        <w:t>咸安区经济总量、增速均小于赤壁市，</w:t>
      </w:r>
      <w:r>
        <w:rPr>
          <w:rFonts w:hint="eastAsia" w:ascii="仿宋_GB2312" w:hAnsi="仿宋_GB2312" w:eastAsia="仿宋_GB2312" w:cs="仿宋_GB2312"/>
          <w:b w:val="0"/>
          <w:bCs w:val="0"/>
          <w:color w:val="auto"/>
          <w:sz w:val="32"/>
          <w:szCs w:val="32"/>
          <w:lang w:val="en-US" w:eastAsia="zh-CN"/>
        </w:rPr>
        <w:t>2021年</w:t>
      </w:r>
      <w:r>
        <w:rPr>
          <w:rFonts w:hint="eastAsia" w:ascii="仿宋_GB2312" w:hAnsi="仿宋_GB2312" w:eastAsia="仿宋_GB2312" w:cs="仿宋_GB2312"/>
          <w:b w:val="0"/>
          <w:bCs w:val="0"/>
          <w:color w:val="auto"/>
          <w:sz w:val="32"/>
          <w:szCs w:val="32"/>
          <w:lang w:val="en" w:eastAsia="zh-CN"/>
        </w:rPr>
        <w:t>紧靠咸安区的</w:t>
      </w:r>
      <w:r>
        <w:rPr>
          <w:rFonts w:hint="eastAsia" w:ascii="仿宋_GB2312" w:hAnsi="仿宋_GB2312" w:eastAsia="仿宋_GB2312" w:cs="仿宋_GB2312"/>
          <w:b w:val="0"/>
          <w:bCs w:val="0"/>
          <w:color w:val="auto"/>
          <w:sz w:val="32"/>
          <w:szCs w:val="32"/>
          <w:lang w:eastAsia="zh-CN"/>
        </w:rPr>
        <w:t>天门市、</w:t>
      </w:r>
      <w:r>
        <w:rPr>
          <w:rFonts w:hint="eastAsia" w:ascii="仿宋_GB2312" w:hAnsi="仿宋_GB2312" w:eastAsia="仿宋_GB2312" w:cs="仿宋_GB2312"/>
          <w:b w:val="0"/>
          <w:bCs w:val="0"/>
          <w:color w:val="auto"/>
          <w:sz w:val="32"/>
          <w:szCs w:val="32"/>
          <w:lang w:val="en" w:eastAsia="zh-CN"/>
        </w:rPr>
        <w:t>孝南区、黄州区均位次前移，</w:t>
      </w:r>
      <w:r>
        <w:rPr>
          <w:rFonts w:hint="eastAsia" w:ascii="仿宋_GB2312" w:hAnsi="仿宋_GB2312" w:eastAsia="仿宋_GB2312" w:cs="仿宋_GB2312"/>
          <w:b w:val="0"/>
          <w:bCs w:val="0"/>
          <w:color w:val="auto"/>
          <w:sz w:val="32"/>
          <w:szCs w:val="32"/>
          <w:lang w:val="en-US" w:eastAsia="zh-CN"/>
        </w:rPr>
        <w:t>2022年</w:t>
      </w:r>
      <w:r>
        <w:rPr>
          <w:rFonts w:hint="eastAsia" w:ascii="仿宋_GB2312" w:hAnsi="仿宋_GB2312" w:eastAsia="仿宋_GB2312" w:cs="仿宋_GB2312"/>
          <w:b w:val="0"/>
          <w:bCs w:val="0"/>
          <w:color w:val="auto"/>
          <w:sz w:val="32"/>
          <w:szCs w:val="32"/>
          <w:lang w:val="en" w:eastAsia="zh-CN"/>
        </w:rPr>
        <w:t>已超过咸安区</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bCs/>
          <w:color w:val="auto"/>
          <w:sz w:val="32"/>
          <w:szCs w:val="32"/>
          <w:lang w:val="en-US" w:eastAsia="zh-CN"/>
        </w:rPr>
        <w:t>从县域经济支柱看，</w:t>
      </w:r>
      <w:r>
        <w:rPr>
          <w:rFonts w:hint="eastAsia" w:ascii="仿宋_GB2312" w:hAnsi="仿宋_GB2312" w:eastAsia="仿宋_GB2312" w:cs="仿宋_GB2312"/>
          <w:b w:val="0"/>
          <w:bCs w:val="0"/>
          <w:color w:val="auto"/>
          <w:sz w:val="32"/>
          <w:szCs w:val="32"/>
          <w:lang w:val="en-US" w:eastAsia="zh-CN"/>
        </w:rPr>
        <w:t>2022年，湖北省制造业增加值占GDP比重达到29.4%，其中一类县（市、区）制造业增加值占GDP比重最高值为52.6%，咸安区为34.7%，排第11位，略高于全省平均水平，但对比最高值还有较大差距。</w:t>
      </w:r>
    </w:p>
    <w:p w14:paraId="53E8E4B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二是开放水平不高。</w:t>
      </w:r>
      <w:r>
        <w:rPr>
          <w:rFonts w:hint="eastAsia" w:ascii="仿宋_GB2312" w:hAnsi="仿宋_GB2312" w:eastAsia="仿宋_GB2312" w:cs="仿宋_GB2312"/>
          <w:b w:val="0"/>
          <w:bCs w:val="0"/>
          <w:color w:val="auto"/>
          <w:sz w:val="32"/>
          <w:szCs w:val="32"/>
          <w:lang w:val="en-US" w:eastAsia="zh-CN"/>
        </w:rPr>
        <w:t>2022年全省一类县（市、区）招商引资实际到位资金内资平均额为168.24亿元，咸安区为65.23亿元，比平均水平低103.01亿元。全省一类县（市、区）引进外资平均额为1713.96万美元，咸安区排名靠后，表明咸安区对外开放水平不高，招商引资力度有待进一步加大。</w:t>
      </w:r>
    </w:p>
    <w:p w14:paraId="4B889F3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三是共享发展有短板。</w:t>
      </w:r>
      <w:r>
        <w:rPr>
          <w:rFonts w:hint="eastAsia" w:ascii="仿宋_GB2312" w:hAnsi="仿宋_GB2312" w:eastAsia="仿宋_GB2312" w:cs="仿宋_GB2312"/>
          <w:b w:val="0"/>
          <w:bCs w:val="0"/>
          <w:color w:val="auto"/>
          <w:sz w:val="32"/>
          <w:szCs w:val="32"/>
          <w:lang w:val="en-US" w:eastAsia="zh-CN"/>
        </w:rPr>
        <w:t>2022年，咸安区城乡居民人均可支配收入之比为1.99，低于全省平均水平2.16，表明咸安区城乡收入差距较小，但农村常住居民人均可支配收入低于一类县（市、区）平均水平3361元，在一类县（市、区）中排名末位，表明咸安区农村常住居民人均可支配收入整体水平不高。</w:t>
      </w:r>
    </w:p>
    <w:p w14:paraId="72D456F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黑体" w:cs="Times New Roman"/>
          <w:b w:val="0"/>
          <w:bCs w:val="0"/>
          <w:color w:val="auto"/>
          <w:sz w:val="28"/>
          <w:szCs w:val="28"/>
          <w:lang w:val="en-US" w:eastAsia="zh-CN"/>
        </w:rPr>
      </w:pPr>
      <w:r>
        <w:rPr>
          <w:rFonts w:hint="default" w:ascii="Times New Roman" w:hAnsi="Times New Roman" w:eastAsia="黑体" w:cs="Times New Roman"/>
          <w:b w:val="0"/>
          <w:bCs w:val="0"/>
          <w:color w:val="auto"/>
          <w:sz w:val="28"/>
          <w:szCs w:val="28"/>
          <w:lang w:val="en-US" w:eastAsia="zh-CN"/>
        </w:rPr>
        <w:t>表2：2022年咸安区县域经济排名的主要指标</w:t>
      </w:r>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3"/>
        <w:gridCol w:w="2400"/>
        <w:gridCol w:w="1314"/>
        <w:gridCol w:w="1712"/>
        <w:gridCol w:w="2563"/>
      </w:tblGrid>
      <w:tr w14:paraId="2408B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blHeader/>
        </w:trPr>
        <w:tc>
          <w:tcPr>
            <w:tcW w:w="353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E74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lang w:val="en-US"/>
              </w:rPr>
            </w:pPr>
            <w:r>
              <w:rPr>
                <w:rFonts w:hint="default" w:ascii="Times New Roman" w:hAnsi="Times New Roman" w:eastAsia="宋体" w:cs="Times New Roman"/>
                <w:b/>
                <w:bCs/>
                <w:i w:val="0"/>
                <w:iCs w:val="0"/>
                <w:color w:val="auto"/>
                <w:kern w:val="0"/>
                <w:sz w:val="24"/>
                <w:szCs w:val="24"/>
                <w:u w:val="none"/>
                <w:lang w:val="en-US" w:eastAsia="zh-CN" w:bidi="ar"/>
              </w:rPr>
              <w:t>指标类别</w:t>
            </w:r>
          </w:p>
        </w:tc>
        <w:tc>
          <w:tcPr>
            <w:tcW w:w="1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6C15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lang w:val="en-US"/>
              </w:rPr>
            </w:pPr>
            <w:r>
              <w:rPr>
                <w:rFonts w:hint="default" w:ascii="Times New Roman" w:hAnsi="Times New Roman" w:eastAsia="宋体" w:cs="Times New Roman"/>
                <w:b/>
                <w:bCs/>
                <w:i w:val="0"/>
                <w:iCs w:val="0"/>
                <w:color w:val="auto"/>
                <w:kern w:val="0"/>
                <w:sz w:val="24"/>
                <w:szCs w:val="24"/>
                <w:u w:val="none"/>
                <w:lang w:val="en-US" w:eastAsia="zh-CN" w:bidi="ar"/>
              </w:rPr>
              <w:t>咸安的位次</w:t>
            </w:r>
          </w:p>
        </w:tc>
      </w:tr>
      <w:tr w14:paraId="313A8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43B8C987">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一、综合质效</w:t>
            </w: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1CD3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地区生产总值及增速（亿元）</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8F8F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E21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1240.74（黄陂区）</w:t>
            </w:r>
          </w:p>
        </w:tc>
      </w:tr>
      <w:tr w14:paraId="2E379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082B90EC">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94C6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5B81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平均值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DD5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728.13</w:t>
            </w:r>
          </w:p>
        </w:tc>
      </w:tr>
      <w:tr w14:paraId="3A1B3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774E4E5">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1BF3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F3F6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D3467">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441.71（21位）</w:t>
            </w:r>
          </w:p>
        </w:tc>
      </w:tr>
      <w:tr w14:paraId="09810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0388B27D">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F0394">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6AEE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增速%（位次）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3454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3.9（20位）</w:t>
            </w:r>
          </w:p>
        </w:tc>
      </w:tr>
      <w:tr w14:paraId="3C9A4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1D5384E">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8F44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“亩产论英雄”绩效</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04C9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5A4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97.86（宜都市）</w:t>
            </w:r>
          </w:p>
        </w:tc>
      </w:tr>
      <w:tr w14:paraId="55984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58ADE115">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A4D6C">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6059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平均值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60D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95.22</w:t>
            </w:r>
          </w:p>
        </w:tc>
      </w:tr>
      <w:tr w14:paraId="7BCE2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51DA3019">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6EB32">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AC88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149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94.61（18位）</w:t>
            </w:r>
          </w:p>
        </w:tc>
      </w:tr>
      <w:tr w14:paraId="115D8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53C1FB3">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3B2B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当年新增“四上”企业数量（个）</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53F1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D56C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327（孝南区）</w:t>
            </w:r>
          </w:p>
        </w:tc>
      </w:tr>
      <w:tr w14:paraId="31B6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70F2DD62">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4ABB1">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2FF1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6FC6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86（20位）</w:t>
            </w:r>
          </w:p>
        </w:tc>
      </w:tr>
      <w:tr w14:paraId="5EEB9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40DDE3FE">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592B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制造业增加值占地区生产总值比重及增减幅度（%）</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E8A2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619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52.6（华容区）</w:t>
            </w:r>
          </w:p>
        </w:tc>
      </w:tr>
      <w:tr w14:paraId="66395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75ECF8A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15592">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C8F5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9490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34.7（11位）</w:t>
            </w:r>
          </w:p>
        </w:tc>
      </w:tr>
      <w:tr w14:paraId="15BF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4898F83">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09D13">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CD78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增减幅度%（位次）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D2EE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0.16（14位）</w:t>
            </w:r>
          </w:p>
        </w:tc>
      </w:tr>
      <w:tr w14:paraId="7B59C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B0E35B4">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E9834">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2B90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增速%（位次）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E94F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-0.9（第17位）</w:t>
            </w:r>
          </w:p>
        </w:tc>
      </w:tr>
      <w:tr w14:paraId="51FFE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2F36DF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4C247">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固定资产增速（%）</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8CD1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1E20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36.6（枝江市）</w:t>
            </w:r>
          </w:p>
        </w:tc>
      </w:tr>
      <w:tr w14:paraId="79B99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77EFE44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2B42D">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1E13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18A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16.6（18位）</w:t>
            </w:r>
          </w:p>
        </w:tc>
      </w:tr>
      <w:tr w14:paraId="5C9E0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13E6C96C">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2639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第三产业增加值增速（%）</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FD38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B287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4（东宝区）</w:t>
            </w:r>
          </w:p>
        </w:tc>
      </w:tr>
      <w:tr w14:paraId="3A73D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26059DA6">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7509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B976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F4A8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2.2（14位）</w:t>
            </w:r>
          </w:p>
        </w:tc>
      </w:tr>
      <w:tr w14:paraId="0F98C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54F2197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7FB0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工业投资占固定资产投资比重及增减幅度（%）</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4710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BF4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74.6（枝江市）</w:t>
            </w:r>
          </w:p>
        </w:tc>
      </w:tr>
      <w:tr w14:paraId="25627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031BC2B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FB136">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C7F9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84F2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44.4（11位）</w:t>
            </w:r>
          </w:p>
        </w:tc>
      </w:tr>
      <w:tr w14:paraId="7AC63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0880526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F8EE8">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9C0D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增减幅度%（位次）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E1B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5.61（3位）</w:t>
            </w:r>
          </w:p>
        </w:tc>
      </w:tr>
      <w:tr w14:paraId="79624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FBFC6CE">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4E13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地方税收占地方一般公共预算收入比重及增减幅度（%）</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BE6F4">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AE0B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95.58（华容区）</w:t>
            </w:r>
          </w:p>
        </w:tc>
      </w:tr>
      <w:tr w14:paraId="44ECE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7E6A5D8">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85244">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EC450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9C9A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67.58（23位）</w:t>
            </w:r>
          </w:p>
        </w:tc>
      </w:tr>
      <w:tr w14:paraId="05853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00E21945">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25024">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4849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增减幅度%（位次）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66A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-8.14（第21位）</w:t>
            </w:r>
          </w:p>
        </w:tc>
      </w:tr>
      <w:tr w14:paraId="6B32F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50E997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二、创新发展</w:t>
            </w: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F4AFD">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科技创新综合指数</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775C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FA5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95.28（江夏区）</w:t>
            </w:r>
          </w:p>
        </w:tc>
      </w:tr>
      <w:tr w14:paraId="26614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2E9D564D">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5DD64">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B031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241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89.01（7位）</w:t>
            </w:r>
          </w:p>
        </w:tc>
      </w:tr>
      <w:tr w14:paraId="1448E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1398147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2B28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工业技改投资占工业投资比重及增减幅度（%）</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2894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A2A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66.96（鄂城区）</w:t>
            </w:r>
          </w:p>
        </w:tc>
      </w:tr>
      <w:tr w14:paraId="23FC6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2685A92">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26744">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A7F2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1749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53.17（7位）</w:t>
            </w:r>
          </w:p>
        </w:tc>
      </w:tr>
      <w:tr w14:paraId="0EFB0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0E40ECC">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49A0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FF587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增减幅度%（位次）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B475">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-9.4（20位）</w:t>
            </w:r>
          </w:p>
        </w:tc>
      </w:tr>
      <w:tr w14:paraId="31EBD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25B862E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三、协调发展</w:t>
            </w: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7470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常住人口城镇化率及增减幅度（%）</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A287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76E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80.58（黄州区）</w:t>
            </w:r>
          </w:p>
        </w:tc>
      </w:tr>
      <w:tr w14:paraId="40B56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09053541">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298C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F444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7F9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74.51（7位）</w:t>
            </w:r>
          </w:p>
        </w:tc>
      </w:tr>
      <w:tr w14:paraId="2B5AE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28CF9E8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7BB72">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2B97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增减幅度%（位次）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A9F5">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0.7（4位）</w:t>
            </w:r>
          </w:p>
        </w:tc>
      </w:tr>
      <w:tr w14:paraId="34794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6258A7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277C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城乡居民人均可支配收入之比（%）</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E292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474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199.89（咸安区）</w:t>
            </w:r>
          </w:p>
        </w:tc>
      </w:tr>
      <w:tr w14:paraId="4E060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B876233">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55AC6">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3E7E5">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2D36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199.89（23位）</w:t>
            </w:r>
          </w:p>
        </w:tc>
      </w:tr>
      <w:tr w14:paraId="46C8A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5120CA66">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DA98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文化和旅游发展指数</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75A1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DE0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100（咸安区）</w:t>
            </w:r>
          </w:p>
        </w:tc>
      </w:tr>
      <w:tr w14:paraId="4DEB6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5939BB86">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00CE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C337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4AD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100（1位）</w:t>
            </w:r>
          </w:p>
        </w:tc>
      </w:tr>
      <w:tr w14:paraId="06991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8EBFB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四、绿色发展</w:t>
            </w: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39B4D">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万元地区生产总值能耗降低率（%）</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901E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B79D">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7.06（黄州区）</w:t>
            </w:r>
          </w:p>
        </w:tc>
      </w:tr>
      <w:tr w14:paraId="612ED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7CBEE12">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56C0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9B4D4">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45A4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0.22（5位）</w:t>
            </w:r>
          </w:p>
        </w:tc>
      </w:tr>
      <w:tr w14:paraId="70D1C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CC3707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921B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空气质量优良天数比率（%）</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F863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707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89.7（蔡甸区）</w:t>
            </w:r>
          </w:p>
        </w:tc>
      </w:tr>
      <w:tr w14:paraId="5E545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B6E6E5">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FA506">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27B0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C37C7">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85.5（6位）</w:t>
            </w:r>
          </w:p>
        </w:tc>
      </w:tr>
      <w:tr w14:paraId="56A49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99067FC">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70CE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地表水环境质量改善指数</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66F24">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942C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1.5（夷陵区）</w:t>
            </w:r>
          </w:p>
        </w:tc>
      </w:tr>
      <w:tr w14:paraId="4142A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B0815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E201D">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3252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58465">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0.7（20位）</w:t>
            </w:r>
          </w:p>
        </w:tc>
      </w:tr>
      <w:tr w14:paraId="1616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F081A5">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FD2DD">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森林覆盖率和森林蓄积量</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5E6D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森林覆盖率指标</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6FA1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2E5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100（夷陵区）</w:t>
            </w:r>
          </w:p>
        </w:tc>
      </w:tr>
      <w:tr w14:paraId="431AD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1D492C">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FBAC1">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1932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58C2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6F89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94.46（3位）</w:t>
            </w:r>
          </w:p>
        </w:tc>
      </w:tr>
      <w:tr w14:paraId="11579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6AA87F4">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5B69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1DDA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森林蓄积量指标</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2665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1D5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100（夷陵区）</w:t>
            </w:r>
          </w:p>
        </w:tc>
      </w:tr>
      <w:tr w14:paraId="19D29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584A9C2">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6B583">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34E9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AC4D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3B52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95.76（17位）</w:t>
            </w:r>
          </w:p>
        </w:tc>
      </w:tr>
      <w:tr w14:paraId="73C2B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A0A98F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五、开放发展</w:t>
            </w: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74FC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出口总额及增速（亿元）</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A631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385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315.2（黄陂区）</w:t>
            </w:r>
          </w:p>
        </w:tc>
      </w:tr>
      <w:tr w14:paraId="157C2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E9EDA65">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FF413">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EE00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平均值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893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45.9</w:t>
            </w:r>
          </w:p>
        </w:tc>
      </w:tr>
      <w:tr w14:paraId="45E06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7331255">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79D03">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E8095">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20B8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9.9（21位）</w:t>
            </w:r>
          </w:p>
        </w:tc>
      </w:tr>
      <w:tr w14:paraId="1CC69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58ED01E">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50318">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B7B4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增速%（位次）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7F9D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35.8（11位）</w:t>
            </w:r>
          </w:p>
        </w:tc>
      </w:tr>
      <w:tr w14:paraId="5BF25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5F7CB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8723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招商引资到位资金及增速</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3D74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内资（亿元）</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C0B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550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672.76（黄陂区）</w:t>
            </w:r>
          </w:p>
        </w:tc>
      </w:tr>
      <w:tr w14:paraId="14E28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76F40BA">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FE38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E0FB2">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EC79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平均值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00C4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168.24</w:t>
            </w:r>
          </w:p>
        </w:tc>
      </w:tr>
      <w:tr w14:paraId="11486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B9FB65">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50E3A">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4C799">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CFC97">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676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65.23（16位）</w:t>
            </w:r>
          </w:p>
        </w:tc>
      </w:tr>
      <w:tr w14:paraId="6EE3B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91A0B4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B498E">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03D39">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F438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增速%（位次）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6F0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-33.3（15位）</w:t>
            </w:r>
          </w:p>
        </w:tc>
      </w:tr>
      <w:tr w14:paraId="223D5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71B3B1">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C5951">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9656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实际利用外资（万美元）</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3F6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3FA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7944（黄陂区）</w:t>
            </w:r>
          </w:p>
        </w:tc>
      </w:tr>
      <w:tr w14:paraId="599F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BE40390">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75A19">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C313C">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868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平均值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1F2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1713.96</w:t>
            </w:r>
          </w:p>
        </w:tc>
      </w:tr>
      <w:tr w14:paraId="5BEA9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C81251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573D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2ED13">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D0F3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7A5E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0（19位）</w:t>
            </w:r>
          </w:p>
        </w:tc>
      </w:tr>
      <w:tr w14:paraId="63219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90E5FA">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D73F0">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D91BE">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A7A2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增速%（位次）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E8F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-100（17位）</w:t>
            </w:r>
          </w:p>
        </w:tc>
      </w:tr>
      <w:tr w14:paraId="7BCA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08EA37">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六、共享发展</w:t>
            </w: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9648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就业和社保综合指数</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4AF6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BF5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100（宜都市）</w:t>
            </w:r>
          </w:p>
        </w:tc>
      </w:tr>
      <w:tr w14:paraId="3595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58E0D6">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090D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CA56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1CF4">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99.85（18位）</w:t>
            </w:r>
          </w:p>
        </w:tc>
      </w:tr>
      <w:tr w14:paraId="35280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71FE9F5">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70CF5">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基本医疗保险评价指数</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6C5A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D016D">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100（宜都市）</w:t>
            </w:r>
          </w:p>
        </w:tc>
      </w:tr>
      <w:tr w14:paraId="108A9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BB4A2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EAB7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23D81">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4056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98（15位）</w:t>
            </w:r>
          </w:p>
        </w:tc>
      </w:tr>
      <w:tr w14:paraId="56313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AE8C20">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63D3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城镇居民人均可支配收入及增幅（元）</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F3A7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56E2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49601（大冶市）</w:t>
            </w:r>
          </w:p>
        </w:tc>
      </w:tr>
      <w:tr w14:paraId="67CD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CE9764D">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DEB67">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94016">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平均值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27CFF">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43100</w:t>
            </w:r>
          </w:p>
        </w:tc>
      </w:tr>
      <w:tr w14:paraId="1B9B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185753E">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9EF0C">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C2EAD">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E17BB">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43771（10位）</w:t>
            </w:r>
          </w:p>
        </w:tc>
      </w:tr>
      <w:tr w14:paraId="6142A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739B19">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0FB4F">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B1B2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增速%（位次）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E883">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7.4（4位）</w:t>
            </w:r>
          </w:p>
        </w:tc>
      </w:tr>
      <w:tr w14:paraId="02761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1724EB">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08F08">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农村常住居民人均可支配收入及增幅（元）</w:t>
            </w: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C7375">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最高值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74F62">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29204（枝江市）</w:t>
            </w:r>
          </w:p>
        </w:tc>
      </w:tr>
      <w:tr w14:paraId="39901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0F3D50">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6C02E">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5E46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平均值</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0780">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25259</w:t>
            </w:r>
          </w:p>
        </w:tc>
      </w:tr>
      <w:tr w14:paraId="14143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22616EC">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AF288">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A641C">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实际值（位次）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89D2A">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21898（23位）</w:t>
            </w:r>
          </w:p>
        </w:tc>
      </w:tr>
      <w:tr w14:paraId="26DE0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692144">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3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8569">
            <w:pPr>
              <w:keepNext w:val="0"/>
              <w:keepLines w:val="0"/>
              <w:pageBreakBefore w:val="0"/>
              <w:widowControl/>
              <w:kinsoku/>
              <w:wordWrap/>
              <w:overflowPunct/>
              <w:topLinePunct w:val="0"/>
              <w:autoSpaceDE/>
              <w:autoSpaceDN/>
              <w:bidi w:val="0"/>
              <w:spacing w:line="360" w:lineRule="exact"/>
              <w:ind w:firstLine="0" w:firstLineChars="0"/>
              <w:jc w:val="center"/>
              <w:rPr>
                <w:rFonts w:hint="default" w:ascii="Times New Roman" w:hAnsi="Times New Roman" w:eastAsia="宋体" w:cs="Times New Roman"/>
                <w:b/>
                <w:bCs/>
                <w:i w:val="0"/>
                <w:iCs w:val="0"/>
                <w:color w:val="auto"/>
                <w:sz w:val="24"/>
                <w:szCs w:val="24"/>
                <w:u w:val="none"/>
              </w:rPr>
            </w:pPr>
          </w:p>
        </w:tc>
        <w:tc>
          <w:tcPr>
            <w:tcW w:w="17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08B8E">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增速%（位次）</w:t>
            </w:r>
          </w:p>
        </w:tc>
        <w:tc>
          <w:tcPr>
            <w:tcW w:w="1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8A19">
            <w:pPr>
              <w:keepNext w:val="0"/>
              <w:keepLines w:val="0"/>
              <w:pageBreakBefore w:val="0"/>
              <w:widowControl/>
              <w:suppressLineNumbers w:val="0"/>
              <w:kinsoku/>
              <w:wordWrap/>
              <w:overflowPunct/>
              <w:topLinePunct w:val="0"/>
              <w:autoSpaceDE/>
              <w:autoSpaceDN/>
              <w:bidi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8.1（15位）</w:t>
            </w:r>
          </w:p>
        </w:tc>
      </w:tr>
    </w:tbl>
    <w:p w14:paraId="0E38C035">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val="en-US" w:eastAsia="zh-CN"/>
        </w:rPr>
      </w:pPr>
      <w:bookmarkStart w:id="68" w:name="_Toc28010"/>
      <w:bookmarkStart w:id="69" w:name="_Toc10875"/>
      <w:r>
        <w:rPr>
          <w:rFonts w:hint="eastAsia" w:ascii="楷体_GB2312" w:hAnsi="楷体_GB2312" w:eastAsia="楷体_GB2312" w:cs="楷体_GB2312"/>
          <w:color w:val="auto"/>
          <w:lang w:val="en-US" w:eastAsia="zh-CN"/>
        </w:rPr>
        <w:t>（二）对标经济高质量发展，实体经济发展质效不高</w:t>
      </w:r>
      <w:bookmarkEnd w:id="68"/>
      <w:bookmarkEnd w:id="69"/>
    </w:p>
    <w:p w14:paraId="440FD939">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kern w:val="2"/>
          <w:szCs w:val="32"/>
          <w:lang w:val="en-US" w:eastAsia="zh-CN"/>
        </w:rPr>
        <w:t>一是</w:t>
      </w:r>
      <w:r>
        <w:rPr>
          <w:rFonts w:hint="eastAsia" w:ascii="仿宋_GB2312" w:hAnsi="仿宋_GB2312" w:eastAsia="仿宋_GB2312" w:cs="仿宋_GB2312"/>
          <w:b/>
          <w:bCs/>
          <w:color w:val="auto"/>
          <w:sz w:val="32"/>
          <w:szCs w:val="32"/>
        </w:rPr>
        <w:t>现代农业发展基础仍较薄弱</w:t>
      </w:r>
      <w:r>
        <w:rPr>
          <w:rFonts w:hint="eastAsia" w:ascii="仿宋_GB2312" w:hAnsi="仿宋_GB2312" w:eastAsia="仿宋_GB2312" w:cs="仿宋_GB2312"/>
          <w:b/>
          <w:bCs/>
          <w:color w:val="auto"/>
          <w:sz w:val="32"/>
          <w:szCs w:val="32"/>
          <w:lang w:val="en-US" w:eastAsia="zh-CN"/>
        </w:rPr>
        <w:t>。农业综合生产能力不强，</w:t>
      </w:r>
      <w:r>
        <w:rPr>
          <w:rFonts w:hint="eastAsia" w:ascii="仿宋_GB2312" w:hAnsi="仿宋_GB2312" w:eastAsia="仿宋_GB2312" w:cs="仿宋_GB2312"/>
          <w:b/>
          <w:bCs/>
          <w:color w:val="auto"/>
          <w:sz w:val="32"/>
          <w:szCs w:val="32"/>
        </w:rPr>
        <w:t>农业</w:t>
      </w:r>
      <w:r>
        <w:rPr>
          <w:rFonts w:hint="eastAsia" w:ascii="仿宋_GB2312" w:hAnsi="仿宋_GB2312" w:eastAsia="仿宋_GB2312" w:cs="仿宋_GB2312"/>
          <w:b/>
          <w:bCs/>
          <w:color w:val="auto"/>
          <w:sz w:val="32"/>
          <w:szCs w:val="32"/>
          <w:lang w:val="en-US" w:eastAsia="zh-CN"/>
        </w:rPr>
        <w:t>新技术推广不足。</w:t>
      </w:r>
      <w:r>
        <w:rPr>
          <w:rFonts w:hint="eastAsia" w:ascii="仿宋_GB2312" w:hAnsi="仿宋_GB2312" w:eastAsia="仿宋_GB2312" w:cs="仿宋_GB2312"/>
          <w:b w:val="0"/>
          <w:bCs w:val="0"/>
          <w:color w:val="auto"/>
          <w:sz w:val="32"/>
          <w:szCs w:val="32"/>
          <w:lang w:val="en-US" w:eastAsia="zh-CN"/>
        </w:rPr>
        <w:t>咸安区农业产业多、基地小、不集中，丘陵山区田间道路、排灌沟渠有短板，抵御自然灾害能力脆弱。农业基础设施和农机化建设不配套，农作物播种环节机械装备</w:t>
      </w:r>
      <w:r>
        <w:rPr>
          <w:rFonts w:ascii="仿宋_GB2312" w:hAnsi="宋体" w:eastAsia="仿宋_GB2312" w:cs="仿宋_GB2312"/>
          <w:i w:val="0"/>
          <w:iCs w:val="0"/>
          <w:caps w:val="0"/>
          <w:color w:val="000000"/>
          <w:spacing w:val="0"/>
          <w:sz w:val="31"/>
          <w:szCs w:val="31"/>
          <w:shd w:val="clear" w:fill="FFFFFF"/>
        </w:rPr>
        <w:t>亟待</w:t>
      </w:r>
      <w:r>
        <w:rPr>
          <w:rFonts w:hint="eastAsia" w:ascii="仿宋_GB2312" w:hAnsi="仿宋_GB2312" w:eastAsia="仿宋_GB2312" w:cs="仿宋_GB2312"/>
          <w:b w:val="0"/>
          <w:bCs w:val="0"/>
          <w:color w:val="auto"/>
          <w:sz w:val="32"/>
          <w:szCs w:val="32"/>
          <w:lang w:val="en-US" w:eastAsia="zh-CN"/>
        </w:rPr>
        <w:t>提高，油菜直播机损坏严重，水稻插秧机拥有量不足。桂花、楠竹等特色产业开发应用技术尚未突破，产品附加值不高。</w:t>
      </w:r>
      <w:r>
        <w:rPr>
          <w:rFonts w:hint="eastAsia" w:ascii="仿宋_GB2312" w:hAnsi="仿宋_GB2312" w:eastAsia="仿宋_GB2312" w:cs="仿宋_GB2312"/>
          <w:b/>
          <w:bCs/>
          <w:color w:val="auto"/>
          <w:sz w:val="32"/>
          <w:szCs w:val="32"/>
          <w:lang w:val="en-US" w:eastAsia="zh-CN"/>
        </w:rPr>
        <w:t>农产品加工能力不强，</w:t>
      </w:r>
      <w:r>
        <w:rPr>
          <w:rFonts w:hint="eastAsia" w:ascii="仿宋_GB2312" w:hAnsi="仿宋_GB2312" w:eastAsia="仿宋_GB2312" w:cs="仿宋_GB2312"/>
          <w:color w:val="auto"/>
          <w:sz w:val="32"/>
          <w:szCs w:val="32"/>
          <w:lang w:val="en-US" w:eastAsia="zh-CN"/>
        </w:rPr>
        <w:t>咸安区</w:t>
      </w:r>
      <w:r>
        <w:rPr>
          <w:rFonts w:hint="eastAsia" w:ascii="仿宋_GB2312" w:hAnsi="仿宋_GB2312" w:eastAsia="仿宋_GB2312" w:cs="仿宋_GB2312"/>
          <w:color w:val="auto"/>
          <w:sz w:val="32"/>
          <w:szCs w:val="32"/>
          <w:lang w:eastAsia="zh-CN"/>
        </w:rPr>
        <w:t>年销售收入</w:t>
      </w:r>
      <w:r>
        <w:rPr>
          <w:rFonts w:hint="eastAsia" w:ascii="仿宋_GB2312" w:hAnsi="仿宋_GB2312" w:eastAsia="仿宋_GB2312" w:cs="仿宋_GB2312"/>
          <w:color w:val="auto"/>
          <w:lang w:eastAsia="zh-CN"/>
        </w:rPr>
        <w:t>10</w:t>
      </w:r>
      <w:r>
        <w:rPr>
          <w:rFonts w:hint="eastAsia" w:ascii="仿宋_GB2312" w:hAnsi="仿宋_GB2312" w:eastAsia="仿宋_GB2312" w:cs="仿宋_GB2312"/>
          <w:color w:val="auto"/>
          <w:sz w:val="32"/>
          <w:szCs w:val="32"/>
          <w:lang w:eastAsia="zh-CN"/>
        </w:rPr>
        <w:t>亿元的</w:t>
      </w:r>
      <w:r>
        <w:rPr>
          <w:rFonts w:hint="eastAsia" w:ascii="仿宋_GB2312" w:hAnsi="仿宋_GB2312" w:eastAsia="仿宋_GB2312" w:cs="仿宋_GB2312"/>
          <w:color w:val="auto"/>
          <w:sz w:val="32"/>
          <w:szCs w:val="32"/>
          <w:lang w:val="en-US" w:eastAsia="zh-CN"/>
        </w:rPr>
        <w:t>农业</w:t>
      </w:r>
      <w:r>
        <w:rPr>
          <w:rFonts w:hint="eastAsia" w:ascii="仿宋_GB2312" w:hAnsi="仿宋_GB2312" w:eastAsia="仿宋_GB2312" w:cs="仿宋_GB2312"/>
          <w:color w:val="auto"/>
          <w:sz w:val="32"/>
          <w:szCs w:val="32"/>
          <w:lang w:eastAsia="zh-CN"/>
        </w:rPr>
        <w:t>企业只有2家，亿元以上</w:t>
      </w:r>
      <w:r>
        <w:rPr>
          <w:rFonts w:hint="eastAsia" w:ascii="仿宋_GB2312" w:hAnsi="仿宋_GB2312" w:eastAsia="仿宋_GB2312" w:cs="仿宋_GB2312"/>
          <w:color w:val="auto"/>
          <w:sz w:val="32"/>
          <w:szCs w:val="32"/>
          <w:lang w:val="en-US" w:eastAsia="zh-CN"/>
        </w:rPr>
        <w:t>企业</w:t>
      </w:r>
      <w:r>
        <w:rPr>
          <w:rFonts w:hint="eastAsia" w:ascii="仿宋_GB2312" w:hAnsi="仿宋_GB2312" w:eastAsia="仿宋_GB2312" w:cs="仿宋_GB2312"/>
          <w:color w:val="auto"/>
          <w:sz w:val="32"/>
          <w:szCs w:val="32"/>
          <w:lang w:eastAsia="zh-CN"/>
        </w:rPr>
        <w:t>只有9家。</w:t>
      </w:r>
      <w:r>
        <w:rPr>
          <w:rFonts w:hint="eastAsia" w:ascii="仿宋_GB2312" w:hAnsi="仿宋_GB2312" w:eastAsia="仿宋_GB2312" w:cs="仿宋_GB2312"/>
          <w:color w:val="auto"/>
          <w:sz w:val="32"/>
          <w:szCs w:val="32"/>
          <w:lang w:val="en-US" w:eastAsia="zh-CN"/>
        </w:rPr>
        <w:t>部分农产品加工企业精深加工能力不高，效益较低。</w:t>
      </w:r>
      <w:r>
        <w:rPr>
          <w:rFonts w:hint="eastAsia" w:ascii="仿宋_GB2312" w:hAnsi="仿宋_GB2312" w:eastAsia="仿宋_GB2312" w:cs="仿宋_GB2312"/>
          <w:b w:val="0"/>
          <w:bCs w:val="0"/>
          <w:color w:val="auto"/>
          <w:sz w:val="32"/>
          <w:szCs w:val="32"/>
          <w:lang w:val="en-US" w:eastAsia="zh-CN"/>
        </w:rPr>
        <w:t>中药材、苎麻等龙头企业从外地调入原料，本地带动能力不强。</w:t>
      </w:r>
      <w:r>
        <w:rPr>
          <w:rFonts w:hint="eastAsia" w:ascii="仿宋_GB2312" w:hAnsi="仿宋_GB2312" w:eastAsia="仿宋_GB2312" w:cs="仿宋_GB2312"/>
          <w:b/>
          <w:bCs/>
          <w:color w:val="auto"/>
          <w:sz w:val="32"/>
          <w:szCs w:val="32"/>
          <w:lang w:val="en-US" w:eastAsia="zh-CN"/>
        </w:rPr>
        <w:t>农业产业化经营体系尚未形成，</w:t>
      </w:r>
      <w:r>
        <w:rPr>
          <w:rFonts w:hint="eastAsia" w:ascii="仿宋_GB2312" w:hAnsi="仿宋_GB2312" w:eastAsia="仿宋_GB2312" w:cs="仿宋_GB2312"/>
          <w:b w:val="0"/>
          <w:bCs w:val="0"/>
          <w:color w:val="auto"/>
          <w:sz w:val="32"/>
          <w:szCs w:val="32"/>
          <w:lang w:val="en-US" w:eastAsia="zh-CN"/>
        </w:rPr>
        <w:t>农产品储存、运输、销售等社会化服务环节滞后，农户与企业的利益联结机制不紧密，持续供应市场能力不够，抵御市场风险能力不足。</w:t>
      </w:r>
    </w:p>
    <w:p w14:paraId="29F5805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kern w:val="0"/>
          <w:sz w:val="32"/>
          <w:szCs w:val="32"/>
          <w:lang w:val="en-US" w:eastAsia="zh-CN" w:bidi="ar"/>
        </w:rPr>
        <w:t>二是部分工业企业经营困难。工业</w:t>
      </w:r>
      <w:r>
        <w:rPr>
          <w:rFonts w:hint="eastAsia" w:ascii="仿宋_GB2312" w:hAnsi="仿宋_GB2312" w:eastAsia="仿宋_GB2312" w:cs="仿宋_GB2312"/>
          <w:b/>
          <w:bCs/>
          <w:color w:val="auto"/>
          <w:sz w:val="32"/>
          <w:szCs w:val="32"/>
        </w:rPr>
        <w:t>韧性不够</w:t>
      </w:r>
      <w:r>
        <w:rPr>
          <w:rFonts w:hint="eastAsia" w:ascii="仿宋_GB2312" w:hAnsi="仿宋_GB2312" w:eastAsia="仿宋_GB2312" w:cs="仿宋_GB2312"/>
          <w:b w:val="0"/>
          <w:bCs w:val="0"/>
          <w:color w:val="auto"/>
          <w:kern w:val="0"/>
          <w:sz w:val="32"/>
          <w:szCs w:val="32"/>
          <w:lang w:val="en-US" w:eastAsia="zh-CN" w:bidi="ar"/>
        </w:rPr>
        <w:t>，</w:t>
      </w:r>
      <w:r>
        <w:rPr>
          <w:rFonts w:hint="eastAsia" w:ascii="仿宋_GB2312" w:hAnsi="仿宋_GB2312" w:eastAsia="仿宋_GB2312" w:cs="仿宋_GB2312"/>
          <w:b/>
          <w:bCs/>
          <w:color w:val="auto"/>
          <w:sz w:val="32"/>
          <w:szCs w:val="32"/>
          <w:lang w:val="en-US" w:eastAsia="zh-CN"/>
        </w:rPr>
        <w:t>新增长点不及预期</w:t>
      </w:r>
      <w:r>
        <w:rPr>
          <w:rFonts w:hint="eastAsia" w:ascii="仿宋_GB2312" w:hAnsi="仿宋_GB2312" w:eastAsia="仿宋_GB2312" w:cs="仿宋_GB2312"/>
          <w:b w:val="0"/>
          <w:bCs w:val="0"/>
          <w:color w:val="auto"/>
          <w:kern w:val="0"/>
          <w:sz w:val="32"/>
          <w:szCs w:val="32"/>
          <w:lang w:val="en-US" w:eastAsia="zh-CN" w:bidi="ar"/>
        </w:rPr>
        <w:t>。</w:t>
      </w:r>
      <w:r>
        <w:rPr>
          <w:rFonts w:hint="eastAsia" w:ascii="仿宋_GB2312" w:hAnsi="仿宋_GB2312" w:eastAsia="仿宋_GB2312" w:cs="仿宋_GB2312"/>
          <w:color w:val="auto"/>
          <w:sz w:val="32"/>
          <w:szCs w:val="32"/>
          <w:lang w:val="en-US" w:eastAsia="zh-CN"/>
        </w:rPr>
        <w:t>传统森工产业普遍生产经营困难，</w:t>
      </w:r>
      <w:r>
        <w:rPr>
          <w:rFonts w:hint="eastAsia" w:ascii="仿宋_GB2312" w:hAnsi="仿宋_GB2312" w:eastAsia="仿宋_GB2312" w:cs="仿宋_GB2312"/>
          <w:color w:val="auto"/>
          <w:lang w:val="en-US" w:eastAsia="zh-CN"/>
        </w:rPr>
        <w:t>受宏观经济形势影响，上游原材料上涨、下游消费不足，企业投资趋于保守，部分项目建设进度不达预期</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lang w:val="en-US" w:eastAsia="zh-CN"/>
        </w:rPr>
        <w:t>部分重大新增长点未能如期达产达效，敏实汽车2022年初预增产值7亿元，实际全年新增产值仅3.3亿元。</w:t>
      </w:r>
      <w:r>
        <w:rPr>
          <w:rFonts w:hint="eastAsia" w:ascii="仿宋_GB2312" w:hAnsi="仿宋_GB2312" w:eastAsia="仿宋_GB2312" w:cs="仿宋_GB2312"/>
          <w:b/>
          <w:bCs/>
          <w:color w:val="auto"/>
          <w:sz w:val="32"/>
          <w:szCs w:val="32"/>
          <w:lang w:val="en-US" w:eastAsia="zh-CN"/>
        </w:rPr>
        <w:t>工业</w:t>
      </w:r>
      <w:r>
        <w:rPr>
          <w:rFonts w:hint="eastAsia" w:ascii="仿宋_GB2312" w:hAnsi="仿宋_GB2312" w:eastAsia="仿宋_GB2312" w:cs="仿宋_GB2312"/>
          <w:b/>
          <w:bCs/>
          <w:color w:val="auto"/>
          <w:sz w:val="32"/>
          <w:szCs w:val="32"/>
        </w:rPr>
        <w:t>科技含量不高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亩均效益较低</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val="0"/>
          <w:bCs w:val="0"/>
          <w:color w:val="auto"/>
          <w:szCs w:val="32"/>
          <w:lang w:val="en-US" w:eastAsia="zh-CN"/>
        </w:rPr>
        <w:t>创新链与产业链融合不足，生物医药和电子信息等科创基础较好的产业尚未壮大，汽车零部件制造等新兴产业缺乏科技支撑。</w:t>
      </w:r>
      <w:r>
        <w:rPr>
          <w:rFonts w:hint="eastAsia" w:ascii="仿宋_GB2312" w:hAnsi="仿宋_GB2312" w:eastAsia="仿宋_GB2312" w:cs="仿宋_GB2312"/>
          <w:color w:val="auto"/>
          <w:sz w:val="32"/>
          <w:szCs w:val="32"/>
          <w:lang w:val="en-US" w:eastAsia="zh-CN"/>
        </w:rPr>
        <w:t>2022年咸安区</w:t>
      </w:r>
      <w:r>
        <w:rPr>
          <w:rFonts w:hint="eastAsia" w:ascii="仿宋_GB2312" w:hAnsi="仿宋_GB2312" w:eastAsia="仿宋_GB2312" w:cs="仿宋_GB2312"/>
          <w:color w:val="auto"/>
          <w:sz w:val="32"/>
          <w:szCs w:val="32"/>
          <w:lang w:eastAsia="zh-CN"/>
        </w:rPr>
        <w:t>“亩产论英雄”绩效</w:t>
      </w:r>
      <w:r>
        <w:rPr>
          <w:rFonts w:hint="eastAsia" w:ascii="仿宋_GB2312" w:hAnsi="仿宋_GB2312" w:eastAsia="仿宋_GB2312" w:cs="仿宋_GB2312"/>
          <w:color w:val="auto"/>
          <w:sz w:val="32"/>
          <w:szCs w:val="32"/>
          <w:lang w:val="en-US" w:eastAsia="zh-CN"/>
        </w:rPr>
        <w:t>为94.61，低于全省县域经济一类县（市、区）平均水平。</w:t>
      </w:r>
      <w:r>
        <w:rPr>
          <w:rFonts w:hint="eastAsia" w:ascii="仿宋_GB2312" w:hAnsi="仿宋_GB2312" w:eastAsia="仿宋_GB2312" w:cs="仿宋_GB2312"/>
          <w:b/>
          <w:bCs/>
          <w:color w:val="auto"/>
          <w:kern w:val="2"/>
          <w:sz w:val="32"/>
          <w:szCs w:val="32"/>
          <w:lang w:val="en-US" w:eastAsia="zh-CN" w:bidi="ar-SA"/>
        </w:rPr>
        <w:t>工业投资持续低迷，</w:t>
      </w:r>
      <w:r>
        <w:rPr>
          <w:rFonts w:hint="eastAsia" w:ascii="仿宋_GB2312" w:hAnsi="仿宋_GB2312" w:eastAsia="仿宋_GB2312" w:cs="仿宋_GB2312"/>
          <w:color w:val="auto"/>
          <w:sz w:val="32"/>
          <w:szCs w:val="32"/>
          <w:lang w:val="en-US" w:eastAsia="zh-CN"/>
        </w:rPr>
        <w:t>2022年工业投资占固定资产投资的比重同比下降9.4%，</w:t>
      </w:r>
      <w:r>
        <w:rPr>
          <w:rFonts w:hint="eastAsia" w:ascii="仿宋_GB2312" w:hAnsi="仿宋_GB2312" w:eastAsia="仿宋_GB2312" w:cs="仿宋_GB2312"/>
          <w:color w:val="auto"/>
          <w:sz w:val="32"/>
          <w:szCs w:val="32"/>
          <w:highlight w:val="none"/>
          <w:lang w:val="en-US" w:eastAsia="zh-CN"/>
        </w:rPr>
        <w:t>2023年上半年</w:t>
      </w:r>
      <w:r>
        <w:rPr>
          <w:rFonts w:hint="eastAsia" w:ascii="仿宋_GB2312" w:hAnsi="仿宋_GB2312" w:eastAsia="仿宋_GB2312" w:cs="仿宋_GB2312"/>
          <w:b w:val="0"/>
          <w:bCs w:val="0"/>
          <w:color w:val="auto"/>
          <w:kern w:val="2"/>
          <w:sz w:val="32"/>
          <w:szCs w:val="32"/>
          <w:lang w:val="en-US" w:eastAsia="zh-CN" w:bidi="ar-SA"/>
        </w:rPr>
        <w:t>工业投资额同比下降4.2%、工业技改投资同比下降62.8%。</w:t>
      </w:r>
      <w:r>
        <w:rPr>
          <w:rFonts w:hint="eastAsia" w:ascii="仿宋_GB2312" w:hAnsi="仿宋_GB2312" w:eastAsia="仿宋_GB2312" w:cs="仿宋_GB2312"/>
          <w:b/>
          <w:bCs/>
          <w:color w:val="auto"/>
          <w:sz w:val="32"/>
          <w:szCs w:val="32"/>
          <w:lang w:val="en-US" w:eastAsia="zh-CN"/>
        </w:rPr>
        <w:t>增量拉动乏力，</w:t>
      </w:r>
      <w:r>
        <w:rPr>
          <w:rFonts w:hint="eastAsia" w:ascii="仿宋_GB2312" w:hAnsi="仿宋_GB2312" w:eastAsia="仿宋_GB2312" w:cs="仿宋_GB2312"/>
          <w:b w:val="0"/>
          <w:bCs w:val="0"/>
          <w:color w:val="auto"/>
          <w:kern w:val="2"/>
          <w:sz w:val="32"/>
          <w:szCs w:val="32"/>
          <w:lang w:val="en-US" w:eastAsia="zh-CN" w:bidi="ar-SA"/>
        </w:rPr>
        <w:t>2022年小进规企业7家，其中4家企业呈负增长，对全区增长拉动作用不明显。2023年上半年无新入规企业。全区</w:t>
      </w:r>
      <w:r>
        <w:rPr>
          <w:rFonts w:hint="eastAsia" w:ascii="仿宋_GB2312" w:hAnsi="仿宋_GB2312" w:eastAsia="仿宋_GB2312" w:cs="仿宋_GB2312"/>
          <w:color w:val="auto"/>
          <w:lang w:val="en-US" w:eastAsia="zh-CN"/>
        </w:rPr>
        <w:t>储备的重大工业项目不多，缺乏有影响力、有聚集带动作用的龙头企业和大项目。</w:t>
      </w:r>
    </w:p>
    <w:p w14:paraId="5DFF152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三是商贸服务业增长乏力，消费带动不足。</w:t>
      </w:r>
      <w:r>
        <w:rPr>
          <w:rFonts w:hint="eastAsia" w:ascii="仿宋_GB2312" w:hAnsi="仿宋_GB2312" w:eastAsia="仿宋_GB2312" w:cs="仿宋_GB2312"/>
          <w:color w:val="auto"/>
          <w:sz w:val="32"/>
          <w:szCs w:val="32"/>
          <w:lang w:val="en-US" w:eastAsia="zh-CN"/>
        </w:rPr>
        <w:t>后疫情时代市民消费趋于保守，吃穿用等服务行业增速下滑，房产市场低迷，家电、纺织、五金、建材等下游行业不景气。以家电和建材行业为例，2022年咸安区家电行业企业仅在7、8、9三个月实现正增长，且增速仅为个位数，其他9个月份均为负增长。</w:t>
      </w:r>
    </w:p>
    <w:p w14:paraId="67C0C2D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四是本地出口走弱。</w:t>
      </w:r>
      <w:r>
        <w:rPr>
          <w:rFonts w:hint="eastAsia" w:ascii="仿宋_GB2312" w:hAnsi="仿宋_GB2312" w:eastAsia="仿宋_GB2312" w:cs="仿宋_GB2312"/>
          <w:b w:val="0"/>
          <w:bCs w:val="0"/>
          <w:color w:val="auto"/>
          <w:lang w:val="en-US" w:eastAsia="zh-CN"/>
        </w:rPr>
        <w:t>咸安区新增出口企业的原料供应、生产、</w:t>
      </w:r>
      <w:r>
        <w:rPr>
          <w:rFonts w:hint="eastAsia" w:ascii="仿宋_GB2312" w:hAnsi="仿宋_GB2312" w:eastAsia="仿宋_GB2312" w:cs="仿宋_GB2312"/>
          <w:color w:val="auto"/>
          <w:sz w:val="32"/>
          <w:szCs w:val="32"/>
        </w:rPr>
        <w:t>销售</w:t>
      </w:r>
      <w:r>
        <w:rPr>
          <w:rFonts w:hint="eastAsia" w:ascii="仿宋_GB2312" w:hAnsi="仿宋_GB2312" w:eastAsia="仿宋_GB2312" w:cs="仿宋_GB2312"/>
          <w:color w:val="auto"/>
          <w:sz w:val="32"/>
          <w:szCs w:val="32"/>
          <w:lang w:val="en-US" w:eastAsia="zh-CN"/>
        </w:rPr>
        <w:t>全部</w:t>
      </w:r>
      <w:r>
        <w:rPr>
          <w:rFonts w:hint="eastAsia" w:ascii="仿宋_GB2312" w:hAnsi="仿宋_GB2312" w:eastAsia="仿宋_GB2312" w:cs="仿宋_GB2312"/>
          <w:color w:val="auto"/>
          <w:sz w:val="32"/>
          <w:szCs w:val="32"/>
        </w:rPr>
        <w:t>在外</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本地</w:t>
      </w:r>
      <w:r>
        <w:rPr>
          <w:rFonts w:hint="eastAsia" w:ascii="仿宋_GB2312" w:hAnsi="仿宋_GB2312" w:eastAsia="仿宋_GB2312" w:cs="仿宋_GB2312"/>
          <w:color w:val="auto"/>
          <w:lang w:val="en-US" w:eastAsia="zh-CN"/>
        </w:rPr>
        <w:t>出口产品主要分布在纺织、服装、轻工等劳动密集型行业，终端产品不多，缺乏高技术含量、高附加值出口产品。受全球经济形势影响，2021年、2022年出口订单数量明显减少，2023年上半年外贸有所回暖，但本地出口企业外贸压力仍然较大。如精华纺织2022年出口同比下降22.8%，2023年上半年出口同比下降1.8%。华欣公司2022年外贸出口同比下降56.6%，2023年上半年出口同比下降44%。</w:t>
      </w:r>
    </w:p>
    <w:p w14:paraId="6BF9AA1B">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仿宋_GB2312" w:hAnsi="仿宋_GB2312" w:eastAsia="仿宋_GB2312" w:cs="仿宋_GB2312"/>
          <w:color w:val="auto"/>
          <w:lang w:eastAsia="zh-CN"/>
        </w:rPr>
      </w:pPr>
      <w:bookmarkStart w:id="70" w:name="_Toc30817"/>
      <w:bookmarkStart w:id="71" w:name="_Toc27330"/>
      <w:r>
        <w:rPr>
          <w:rFonts w:hint="eastAsia" w:ascii="仿宋_GB2312" w:hAnsi="仿宋_GB2312" w:eastAsia="仿宋_GB2312" w:cs="仿宋_GB2312"/>
          <w:color w:val="auto"/>
          <w:lang w:eastAsia="zh-CN"/>
        </w:rPr>
        <w:t>（</w:t>
      </w:r>
      <w:r>
        <w:rPr>
          <w:rFonts w:hint="eastAsia" w:ascii="楷体_GB2312" w:hAnsi="楷体_GB2312" w:eastAsia="楷体_GB2312" w:cs="楷体_GB2312"/>
          <w:color w:val="auto"/>
          <w:lang w:val="en-US" w:eastAsia="zh-CN"/>
        </w:rPr>
        <w:t>三</w:t>
      </w:r>
      <w:r>
        <w:rPr>
          <w:rFonts w:hint="eastAsia" w:ascii="楷体_GB2312" w:hAnsi="楷体_GB2312" w:eastAsia="楷体_GB2312" w:cs="楷体_GB2312"/>
          <w:color w:val="auto"/>
          <w:lang w:eastAsia="zh-CN"/>
        </w:rPr>
        <w:t>）</w:t>
      </w:r>
      <w:r>
        <w:rPr>
          <w:rFonts w:hint="eastAsia" w:ascii="楷体_GB2312" w:hAnsi="楷体_GB2312" w:eastAsia="楷体_GB2312" w:cs="楷体_GB2312"/>
          <w:color w:val="auto"/>
          <w:lang w:val="en-US" w:eastAsia="zh-CN"/>
        </w:rPr>
        <w:t>对标流域综合治理，底线管控</w:t>
      </w:r>
      <w:r>
        <w:rPr>
          <w:rFonts w:hint="eastAsia" w:ascii="楷体_GB2312" w:hAnsi="楷体_GB2312" w:eastAsia="楷体_GB2312" w:cs="楷体_GB2312"/>
          <w:color w:val="auto"/>
          <w:lang w:eastAsia="zh-CN"/>
        </w:rPr>
        <w:t>存在风险隐患</w:t>
      </w:r>
      <w:bookmarkEnd w:id="70"/>
      <w:bookmarkEnd w:id="71"/>
    </w:p>
    <w:p w14:paraId="70AE79F9">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kern w:val="0"/>
          <w:sz w:val="32"/>
          <w:szCs w:val="32"/>
          <w:highlight w:val="none"/>
          <w:lang w:val="en-US" w:eastAsia="zh-CN" w:bidi="ar"/>
        </w:rPr>
        <w:t>一是水安全风险高。</w:t>
      </w:r>
      <w:r>
        <w:rPr>
          <w:rFonts w:hint="eastAsia" w:ascii="仿宋_GB2312" w:hAnsi="仿宋_GB2312" w:eastAsia="仿宋_GB2312" w:cs="仿宋_GB2312"/>
          <w:color w:val="auto"/>
          <w:highlight w:val="none"/>
        </w:rPr>
        <w:t>水灾害防御工程体系不完善</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西凉湖蓄滞洪区未进行建设，安全区仍不闭合。长江干堤四邑江堤部分河道岸线存在崩岸隐患。中小河流防洪标准偏低，区域内主要河流共3条，总长133.9公里，还有36.47公里防洪标准达不到10年一遇。全区仍有病险水库4座，分别为四门楼水库、唐斗山水库、杨塘渡水库和东方红水库。港背陈河、常收河、清溪河、朱家湾港等部分山洪沟冲刷严重。城区排涝标准偏低、自然调蓄空间不足、排水设施建设滞后、应急管理能力不强，遭遇极端暴雨时内涝较为严重</w:t>
      </w:r>
      <w:r>
        <w:rPr>
          <w:rFonts w:hint="eastAsia" w:ascii="仿宋_GB2312" w:hAnsi="仿宋_GB2312" w:eastAsia="仿宋_GB2312" w:cs="仿宋_GB2312"/>
          <w:color w:val="auto"/>
          <w:highlight w:val="none"/>
          <w:lang w:eastAsia="zh-CN"/>
        </w:rPr>
        <w:t>。</w:t>
      </w:r>
    </w:p>
    <w:p w14:paraId="47364193">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kern w:val="0"/>
          <w:sz w:val="32"/>
          <w:szCs w:val="32"/>
          <w:highlight w:val="none"/>
          <w:lang w:val="en-US" w:eastAsia="zh-CN" w:bidi="ar"/>
        </w:rPr>
        <w:t>二是水资源供需矛盾突出。</w:t>
      </w:r>
      <w:r>
        <w:rPr>
          <w:rFonts w:hint="eastAsia" w:ascii="仿宋_GB2312" w:hAnsi="仿宋_GB2312" w:eastAsia="仿宋_GB2312" w:cs="仿宋_GB2312"/>
          <w:color w:val="auto"/>
          <w:highlight w:val="none"/>
          <w:lang w:eastAsia="zh-CN"/>
        </w:rPr>
        <w:t>供水布局还不够完善，城乡供水一体化推进较慢，小型集中式供水管理难度较大，供水保障能力不足，马桥、桂花、大幕等乡镇部分小型单村（组）集中式供水工程，干旱期间存在水源水量不足的临时性缺水问题。灌区水网尚需完善，中型灌区建设与现代化灌区要求差距较大，南川、双石等重点中型灌区蓄、引、提水源工程配置不尽合理，不能完全满足农业生活、生产及生态用水；农田灌排设施不够完善，灌溉</w:t>
      </w:r>
      <w:r>
        <w:rPr>
          <w:rFonts w:ascii="仿宋_GB2312" w:hAnsi="宋体" w:eastAsia="仿宋_GB2312" w:cs="仿宋_GB2312"/>
          <w:i w:val="0"/>
          <w:iCs w:val="0"/>
          <w:caps w:val="0"/>
          <w:color w:val="000000"/>
          <w:spacing w:val="0"/>
          <w:sz w:val="31"/>
          <w:szCs w:val="31"/>
          <w:shd w:val="clear" w:fill="FFFFFF"/>
        </w:rPr>
        <w:t>保障率</w:t>
      </w:r>
      <w:r>
        <w:rPr>
          <w:rFonts w:hint="eastAsia" w:ascii="仿宋_GB2312" w:hAnsi="仿宋_GB2312" w:eastAsia="仿宋_GB2312" w:cs="仿宋_GB2312"/>
          <w:color w:val="auto"/>
          <w:highlight w:val="none"/>
          <w:lang w:eastAsia="zh-CN"/>
        </w:rPr>
        <w:t>低，灌溉水利用系数仅为0.53。河湖连通性不高，水体循环不畅，枯水期河湖生态用水保障不足。</w:t>
      </w:r>
    </w:p>
    <w:p w14:paraId="20A67F1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bidi="ar"/>
        </w:rPr>
        <w:t>三是部分河湖生态系统不稳定。</w:t>
      </w:r>
      <w:r>
        <w:rPr>
          <w:rFonts w:hint="eastAsia" w:ascii="仿宋_GB2312" w:hAnsi="仿宋_GB2312" w:eastAsia="仿宋_GB2312" w:cs="仿宋_GB2312"/>
          <w:color w:val="auto"/>
          <w:kern w:val="0"/>
          <w:sz w:val="32"/>
          <w:szCs w:val="32"/>
          <w:highlight w:val="none"/>
          <w:lang w:val="en-US" w:eastAsia="zh-CN" w:bidi="ar"/>
        </w:rPr>
        <w:t>斧头湖和西凉湖湖泊生态系统不够稳定，恢复周期较长，部分入湖河流淤积较重、水流通道受阻、水体纳污能力降低，进一步加剧了湖泊水体污染及富营养化程度，淦河、高桥河、汀泗河、斧头湖、西凉湖等重点河湖需开展综合治理。水环境安全存在隐患，淦河及支流入河排口存在截污纳管不到位等问题；饮用水水源地点多面广，保护难度大。</w:t>
      </w:r>
    </w:p>
    <w:p w14:paraId="4EA7F0F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bidi="ar"/>
        </w:rPr>
        <w:t>四是应急管理形势严峻复杂</w:t>
      </w:r>
      <w:r>
        <w:rPr>
          <w:rFonts w:hint="eastAsia" w:ascii="仿宋_GB2312" w:hAnsi="仿宋_GB2312" w:eastAsia="仿宋_GB2312" w:cs="仿宋_GB2312"/>
          <w:color w:val="auto"/>
          <w:kern w:val="0"/>
          <w:sz w:val="32"/>
          <w:szCs w:val="32"/>
          <w:highlight w:val="none"/>
          <w:lang w:val="en-US" w:eastAsia="zh-CN" w:bidi="ar"/>
        </w:rPr>
        <w:t>。社会经济发展中不安全因素变多，生产安全事故呈现从传统高危行业向其他行业领域蔓延趋势，道路交通、建筑工地、危险化学品、城镇燃气、城镇消防、文旅市场、工贸企业等领域存在安全隐患，统筹发展和安全的压力加大。应急基础还不稳固，区级应急救灾物资储备、应急管理信息化建设与应急管理、安全生产、防灾减灾救灾工作要求还存在差距。应急处置能力存在短板，应急救援队伍整体战训水平和协同联动能力有待提高。</w:t>
      </w:r>
    </w:p>
    <w:p w14:paraId="2C8554DF">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val="en-US" w:eastAsia="zh-CN"/>
        </w:rPr>
      </w:pPr>
      <w:bookmarkStart w:id="72" w:name="_Toc4330"/>
      <w:bookmarkStart w:id="73" w:name="_Toc24450"/>
      <w:r>
        <w:rPr>
          <w:rFonts w:hint="eastAsia" w:ascii="楷体_GB2312" w:hAnsi="楷体_GB2312" w:eastAsia="楷体_GB2312" w:cs="楷体_GB2312"/>
          <w:color w:val="auto"/>
          <w:lang w:val="en-US" w:eastAsia="zh-CN"/>
        </w:rPr>
        <w:t>（四）对标自然生态公园城市，城市品质不优</w:t>
      </w:r>
      <w:bookmarkEnd w:id="72"/>
      <w:bookmarkEnd w:id="73"/>
    </w:p>
    <w:p w14:paraId="11C82B9E">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一是“香城泉都”城市特色凸显不足。</w:t>
      </w:r>
      <w:r>
        <w:rPr>
          <w:rFonts w:hint="eastAsia" w:ascii="仿宋_GB2312" w:hAnsi="仿宋_GB2312" w:eastAsia="仿宋_GB2312" w:cs="仿宋_GB2312"/>
          <w:b w:val="0"/>
          <w:bCs w:val="0"/>
          <w:color w:val="auto"/>
          <w:kern w:val="0"/>
          <w:sz w:val="32"/>
          <w:szCs w:val="32"/>
          <w:lang w:val="en-US" w:eastAsia="zh-CN" w:bidi="ar"/>
        </w:rPr>
        <w:t>咸安城镇建设尚未充分体现“桂花”“温泉”的魅力，桂花资源与咸安区生态、文化等优势资源的整合尚待加强，“山、水、城、林”共同体元素在空间上较为间断零散，城镇建设与嫦娥文化、桂月文化等传统文化结合不足，“中国桂花城”主题不够突出。</w:t>
      </w:r>
    </w:p>
    <w:p w14:paraId="371FA7C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kern w:val="0"/>
          <w:sz w:val="32"/>
          <w:szCs w:val="32"/>
          <w:lang w:val="en-US" w:eastAsia="zh-CN" w:bidi="ar"/>
        </w:rPr>
        <w:t>二是城镇精细化治理水平有待提升。</w:t>
      </w:r>
      <w:r>
        <w:rPr>
          <w:rFonts w:hint="eastAsia" w:ascii="仿宋_GB2312" w:hAnsi="仿宋_GB2312" w:eastAsia="仿宋_GB2312" w:cs="仿宋_GB2312"/>
          <w:b w:val="0"/>
          <w:bCs w:val="0"/>
          <w:color w:val="auto"/>
          <w:kern w:val="0"/>
          <w:sz w:val="32"/>
          <w:szCs w:val="32"/>
          <w:lang w:val="en-US" w:eastAsia="zh-CN" w:bidi="ar"/>
        </w:rPr>
        <w:t>城镇基础设施有欠账，永安老城区市政管网设施老旧，城市内涝治理离群众期盼还存在较大差距。部分棚户区改造、老旧小区改造完成移交给社区后，物业管理较困难，易再现“脏乱差”情况</w:t>
      </w:r>
      <w:r>
        <w:rPr>
          <w:rFonts w:hint="eastAsia" w:ascii="仿宋_GB2312" w:hAnsi="仿宋_GB2312" w:eastAsia="仿宋_GB2312" w:cs="仿宋_GB2312"/>
          <w:color w:val="auto"/>
          <w:lang w:val="en-US" w:eastAsia="zh-CN"/>
        </w:rPr>
        <w:t>。</w:t>
      </w:r>
    </w:p>
    <w:p w14:paraId="095B343B">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三是交通、物流、能源等支撑体系有短板。</w:t>
      </w:r>
      <w:r>
        <w:rPr>
          <w:rFonts w:hint="eastAsia" w:ascii="仿宋_GB2312" w:hAnsi="仿宋_GB2312" w:eastAsia="仿宋_GB2312" w:cs="仿宋_GB2312"/>
          <w:color w:val="auto"/>
          <w:kern w:val="0"/>
          <w:sz w:val="32"/>
          <w:szCs w:val="32"/>
          <w:lang w:val="en-US" w:eastAsia="zh-CN" w:bidi="ar"/>
        </w:rPr>
        <w:t>咸安区干线公路与城市道路衔接、景区道路之间的衔接有待加强。武咸城际铁路利用效率不高。农村交通对全域旅游支撑不足。</w:t>
      </w:r>
      <w:r>
        <w:rPr>
          <w:rFonts w:hint="eastAsia" w:ascii="仿宋_GB2312" w:hAnsi="仿宋_GB2312" w:eastAsia="仿宋_GB2312" w:cs="仿宋_GB2312"/>
          <w:b w:val="0"/>
          <w:bCs w:val="0"/>
          <w:color w:val="auto"/>
          <w:kern w:val="0"/>
          <w:sz w:val="32"/>
          <w:szCs w:val="32"/>
          <w:lang w:val="en-US" w:eastAsia="zh-CN" w:bidi="ar"/>
        </w:rPr>
        <w:t>物流发展水平与咸安区位、交通优势不匹配，</w:t>
      </w:r>
      <w:r>
        <w:rPr>
          <w:rFonts w:hint="eastAsia" w:ascii="仿宋_GB2312" w:hAnsi="仿宋_GB2312" w:eastAsia="仿宋_GB2312" w:cs="仿宋_GB2312"/>
          <w:color w:val="auto"/>
          <w:kern w:val="0"/>
          <w:sz w:val="32"/>
          <w:szCs w:val="32"/>
          <w:lang w:val="en-US" w:eastAsia="zh-CN" w:bidi="ar"/>
        </w:rPr>
        <w:t>物流业与制造业联动不够</w:t>
      </w:r>
      <w:r>
        <w:rPr>
          <w:rFonts w:hint="eastAsia" w:ascii="仿宋_GB2312" w:hAnsi="仿宋_GB2312" w:eastAsia="仿宋_GB2312" w:cs="仿宋_GB2312"/>
          <w:b w:val="0"/>
          <w:bCs w:val="0"/>
          <w:color w:val="auto"/>
          <w:kern w:val="0"/>
          <w:sz w:val="32"/>
          <w:szCs w:val="32"/>
          <w:lang w:val="en-US" w:eastAsia="zh-CN" w:bidi="ar"/>
        </w:rPr>
        <w:t>，货运铁路利用不足，多式联运转运衔接不畅。能源供应方面，咸安区一次能源资源供应匮乏，新能源和可再生能源尚处于发展起步阶段，</w:t>
      </w:r>
      <w:r>
        <w:rPr>
          <w:rFonts w:hint="eastAsia" w:ascii="仿宋_GB2312" w:hAnsi="仿宋_GB2312" w:eastAsia="仿宋_GB2312" w:cs="仿宋_GB2312"/>
          <w:color w:val="auto"/>
          <w:kern w:val="0"/>
          <w:sz w:val="32"/>
          <w:szCs w:val="32"/>
          <w:lang w:val="en-US" w:eastAsia="zh-CN" w:bidi="ar"/>
        </w:rPr>
        <w:t>能源设施安全高效运行能力亟待提升。</w:t>
      </w:r>
    </w:p>
    <w:p w14:paraId="35A3233A">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val="en-US" w:eastAsia="zh-CN"/>
        </w:rPr>
      </w:pPr>
      <w:bookmarkStart w:id="74" w:name="_Toc15900"/>
      <w:bookmarkStart w:id="75" w:name="_Toc8401"/>
      <w:r>
        <w:rPr>
          <w:rFonts w:hint="eastAsia" w:ascii="楷体_GB2312" w:hAnsi="楷体_GB2312" w:eastAsia="楷体_GB2312" w:cs="楷体_GB2312"/>
          <w:color w:val="auto"/>
          <w:lang w:val="en-US" w:eastAsia="zh-CN"/>
        </w:rPr>
        <w:t>（五）对标长江大保护，生态环保存在弱项</w:t>
      </w:r>
      <w:bookmarkEnd w:id="74"/>
      <w:bookmarkEnd w:id="75"/>
    </w:p>
    <w:p w14:paraId="5AF98D8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b/>
          <w:bCs/>
          <w:color w:val="auto"/>
          <w:lang w:val="en-US" w:eastAsia="zh-CN"/>
        </w:rPr>
        <w:t>一</w:t>
      </w:r>
      <w:r>
        <w:rPr>
          <w:rFonts w:hint="eastAsia" w:ascii="仿宋_GB2312" w:hAnsi="仿宋_GB2312" w:eastAsia="仿宋_GB2312" w:cs="仿宋_GB2312"/>
          <w:b/>
          <w:bCs/>
          <w:color w:val="auto"/>
        </w:rPr>
        <w:t>是</w:t>
      </w:r>
      <w:r>
        <w:rPr>
          <w:rFonts w:hint="eastAsia" w:ascii="仿宋_GB2312" w:hAnsi="仿宋_GB2312" w:eastAsia="仿宋_GB2312" w:cs="仿宋_GB2312"/>
          <w:b/>
          <w:bCs/>
          <w:color w:val="auto"/>
          <w:lang w:val="en-US" w:eastAsia="zh-CN"/>
        </w:rPr>
        <w:t>城乡生产生活截污不彻底</w:t>
      </w:r>
      <w:r>
        <w:rPr>
          <w:rFonts w:hint="eastAsia" w:ascii="仿宋_GB2312" w:hAnsi="仿宋_GB2312" w:eastAsia="仿宋_GB2312" w:cs="仿宋_GB2312"/>
          <w:color w:val="auto"/>
          <w:lang w:val="en-US" w:eastAsia="zh-CN"/>
        </w:rPr>
        <w:t>。淦</w:t>
      </w:r>
      <w:r>
        <w:rPr>
          <w:rFonts w:hint="eastAsia" w:ascii="仿宋_GB2312" w:hAnsi="仿宋_GB2312" w:eastAsia="仿宋_GB2312" w:cs="仿宋_GB2312"/>
          <w:color w:val="auto"/>
        </w:rPr>
        <w:t>河上游及沿岸雨污分流、截污纳管不彻底，</w:t>
      </w:r>
      <w:r>
        <w:rPr>
          <w:rFonts w:hint="eastAsia" w:ascii="仿宋_GB2312" w:hAnsi="仿宋_GB2312" w:eastAsia="仿宋_GB2312" w:cs="仿宋_GB2312"/>
          <w:color w:val="auto"/>
          <w:lang w:val="en-US" w:eastAsia="zh-CN"/>
        </w:rPr>
        <w:t>西凉湖</w:t>
      </w:r>
      <w:r>
        <w:rPr>
          <w:rFonts w:hint="eastAsia" w:ascii="仿宋_GB2312" w:hAnsi="仿宋_GB2312" w:eastAsia="仿宋_GB2312" w:cs="仿宋_GB2312"/>
          <w:color w:val="auto"/>
          <w:lang w:eastAsia="zh-CN"/>
        </w:rPr>
        <w:t>沿湖部分村庄的生活污水直排入湖。西凉湖沿湖农业面源污染治理尚需进一步加强。斧头湖较高的生态水位对</w:t>
      </w:r>
      <w:r>
        <w:rPr>
          <w:rFonts w:hint="eastAsia" w:ascii="仿宋_GB2312" w:hAnsi="仿宋_GB2312" w:eastAsia="仿宋_GB2312" w:cs="仿宋_GB2312"/>
          <w:color w:val="auto"/>
          <w:lang w:val="en-US" w:eastAsia="zh-CN"/>
        </w:rPr>
        <w:t>淦</w:t>
      </w:r>
      <w:r>
        <w:rPr>
          <w:rFonts w:hint="eastAsia" w:ascii="仿宋_GB2312" w:hAnsi="仿宋_GB2312" w:eastAsia="仿宋_GB2312" w:cs="仿宋_GB2312"/>
          <w:color w:val="auto"/>
          <w:lang w:eastAsia="zh-CN"/>
        </w:rPr>
        <w:t>河产生顶托作用，导致</w:t>
      </w:r>
      <w:r>
        <w:rPr>
          <w:rFonts w:hint="eastAsia" w:ascii="仿宋_GB2312" w:hAnsi="仿宋_GB2312" w:eastAsia="仿宋_GB2312" w:cs="仿宋_GB2312"/>
          <w:color w:val="auto"/>
          <w:lang w:val="en-US" w:eastAsia="zh-CN"/>
        </w:rPr>
        <w:t>淦</w:t>
      </w:r>
      <w:r>
        <w:rPr>
          <w:rFonts w:hint="eastAsia" w:ascii="仿宋_GB2312" w:hAnsi="仿宋_GB2312" w:eastAsia="仿宋_GB2312" w:cs="仿宋_GB2312"/>
          <w:color w:val="auto"/>
          <w:lang w:eastAsia="zh-CN"/>
        </w:rPr>
        <w:t>河水流流速缓慢，影响水体复氧，造成溶解氧偏低。嘉鱼港口闸至北庄海段清淤疏浚工程，导致马鞍河上游生产、生活污水进入西凉湖。窑嘴大桥国控断面和西凉湖咸安湖心省控断面存在</w:t>
      </w:r>
      <w:r>
        <w:rPr>
          <w:rFonts w:hint="eastAsia" w:ascii="仿宋_GB2312" w:hAnsi="仿宋_GB2312" w:eastAsia="仿宋_GB2312" w:cs="仿宋_GB2312"/>
          <w:color w:val="auto"/>
          <w:lang w:val="en-US" w:eastAsia="zh-CN"/>
        </w:rPr>
        <w:t>水质</w:t>
      </w:r>
      <w:r>
        <w:rPr>
          <w:rFonts w:hint="eastAsia" w:ascii="仿宋_GB2312" w:hAnsi="仿宋_GB2312" w:eastAsia="仿宋_GB2312" w:cs="仿宋_GB2312"/>
          <w:color w:val="auto"/>
          <w:lang w:eastAsia="zh-CN"/>
        </w:rPr>
        <w:t>超标风险。</w:t>
      </w:r>
    </w:p>
    <w:p w14:paraId="11F05EC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二是臭氧、扬尘等空气质量监管有短板。</w:t>
      </w:r>
      <w:r>
        <w:rPr>
          <w:rFonts w:hint="eastAsia" w:ascii="仿宋_GB2312" w:hAnsi="仿宋_GB2312" w:eastAsia="仿宋_GB2312" w:cs="仿宋_GB2312"/>
          <w:color w:val="auto"/>
          <w:lang w:val="en-US" w:eastAsia="zh-CN"/>
        </w:rPr>
        <w:t>咸安区部分化工、人造板制造、包装印刷和工业涂装等行业企业挥发性有机物治理措施老旧或直接无组织排放，为臭氧生成创造了物质条件。机动车尾气监测受技术设备等限制，难以监管。长安大道、金桂路、青龙路、银桂路等路段城区餐饮油烟督查存在盲点。建筑工地、临时开工工地、市政工程、107国道等</w:t>
      </w:r>
      <w:r>
        <w:rPr>
          <w:rFonts w:hint="eastAsia" w:ascii="仿宋_GB2312" w:hAnsi="仿宋_GB2312" w:eastAsia="仿宋_GB2312" w:cs="仿宋_GB2312"/>
          <w:b w:val="0"/>
          <w:bCs w:val="0"/>
          <w:color w:val="auto"/>
          <w:lang w:val="en-US" w:eastAsia="zh-CN"/>
        </w:rPr>
        <w:t>扬尘管控区域</w:t>
      </w:r>
      <w:r>
        <w:rPr>
          <w:rFonts w:hint="eastAsia" w:ascii="仿宋_GB2312" w:hAnsi="仿宋_GB2312" w:eastAsia="仿宋_GB2312" w:cs="仿宋_GB2312"/>
          <w:color w:val="auto"/>
          <w:lang w:val="en-US" w:eastAsia="zh-CN"/>
        </w:rPr>
        <w:t>存在监管盲区，</w:t>
      </w:r>
      <w:r>
        <w:rPr>
          <w:rFonts w:hint="eastAsia" w:ascii="仿宋_GB2312" w:hAnsi="仿宋_GB2312" w:eastAsia="仿宋_GB2312" w:cs="仿宋_GB2312"/>
          <w:b w:val="0"/>
          <w:bCs w:val="0"/>
          <w:color w:val="auto"/>
          <w:lang w:val="en-US" w:eastAsia="zh-CN"/>
        </w:rPr>
        <w:t>部门联动机制尚需进一步完善。</w:t>
      </w:r>
      <w:r>
        <w:rPr>
          <w:rFonts w:hint="eastAsia" w:ascii="仿宋_GB2312" w:hAnsi="仿宋_GB2312" w:eastAsia="仿宋_GB2312" w:cs="仿宋_GB2312"/>
          <w:color w:val="auto"/>
          <w:lang w:val="en-US" w:eastAsia="zh-CN"/>
        </w:rPr>
        <w:t>秸秆露天焚烧屡禁不止。</w:t>
      </w:r>
    </w:p>
    <w:p w14:paraId="2D46293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lang w:val="en-US" w:eastAsia="zh-CN"/>
        </w:rPr>
        <w:t>三是生态建设有弱项。</w:t>
      </w:r>
      <w:r>
        <w:rPr>
          <w:rFonts w:hint="eastAsia" w:ascii="仿宋_GB2312" w:hAnsi="仿宋_GB2312" w:eastAsia="仿宋_GB2312" w:cs="仿宋_GB2312"/>
          <w:color w:val="auto"/>
          <w:lang w:val="en-US" w:eastAsia="zh-CN"/>
        </w:rPr>
        <w:t>森林整体质量不高，森林面积占林地面积的比重较低，森林蓄积量低于全省平均水平。</w:t>
      </w:r>
      <w:r>
        <w:rPr>
          <w:rFonts w:hint="eastAsia" w:ascii="仿宋_GB2312" w:hAnsi="仿宋_GB2312" w:eastAsia="仿宋_GB2312" w:cs="仿宋_GB2312"/>
          <w:color w:val="auto"/>
        </w:rPr>
        <w:t>护鱼巡查措施不严不实，违规垂钓、违法捕捞等行为屡禁不止。群众对农村环境整治工作参与度不够，</w:t>
      </w:r>
      <w:r>
        <w:rPr>
          <w:rFonts w:hint="eastAsia" w:ascii="仿宋_GB2312" w:hAnsi="仿宋_GB2312" w:eastAsia="仿宋_GB2312" w:cs="仿宋_GB2312"/>
          <w:color w:val="auto"/>
          <w:lang w:val="en-US" w:eastAsia="zh-CN"/>
        </w:rPr>
        <w:t>设施</w:t>
      </w:r>
      <w:r>
        <w:rPr>
          <w:rFonts w:hint="eastAsia" w:ascii="仿宋_GB2312" w:hAnsi="仿宋_GB2312" w:eastAsia="仿宋_GB2312" w:cs="仿宋_GB2312"/>
          <w:color w:val="auto"/>
        </w:rPr>
        <w:t>长效管护机制不健全。</w:t>
      </w:r>
    </w:p>
    <w:p w14:paraId="0F6690C6">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val="en-US" w:eastAsia="zh-CN"/>
        </w:rPr>
      </w:pPr>
      <w:bookmarkStart w:id="76" w:name="_Toc1033"/>
      <w:bookmarkStart w:id="77" w:name="_Toc8750"/>
      <w:r>
        <w:rPr>
          <w:rFonts w:hint="eastAsia" w:ascii="楷体_GB2312" w:hAnsi="楷体_GB2312" w:eastAsia="楷体_GB2312" w:cs="楷体_GB2312"/>
          <w:color w:val="auto"/>
          <w:lang w:val="en-US" w:eastAsia="zh-CN"/>
        </w:rPr>
        <w:t>（六）对标华中康养区，大健康尚未形成发展合力</w:t>
      </w:r>
      <w:bookmarkEnd w:id="76"/>
      <w:bookmarkEnd w:id="77"/>
    </w:p>
    <w:p w14:paraId="67C018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一是大健康产业能级不高。</w:t>
      </w:r>
      <w:r>
        <w:rPr>
          <w:rFonts w:hint="eastAsia" w:ascii="仿宋_GB2312" w:hAnsi="仿宋_GB2312" w:eastAsia="仿宋_GB2312" w:cs="仿宋_GB2312"/>
          <w:color w:val="auto"/>
          <w:sz w:val="32"/>
          <w:szCs w:val="32"/>
          <w:lang w:val="en-US" w:eastAsia="zh-CN"/>
        </w:rPr>
        <w:t>全区</w:t>
      </w:r>
      <w:r>
        <w:rPr>
          <w:rFonts w:hint="eastAsia" w:ascii="仿宋_GB2312" w:hAnsi="仿宋_GB2312" w:eastAsia="仿宋_GB2312" w:cs="仿宋_GB2312"/>
          <w:color w:val="auto"/>
          <w:sz w:val="32"/>
          <w:szCs w:val="32"/>
        </w:rPr>
        <w:t>中药材</w:t>
      </w:r>
      <w:r>
        <w:rPr>
          <w:rFonts w:hint="eastAsia" w:ascii="仿宋_GB2312" w:hAnsi="仿宋_GB2312" w:eastAsia="仿宋_GB2312" w:cs="仿宋_GB2312"/>
          <w:color w:val="auto"/>
          <w:sz w:val="32"/>
          <w:szCs w:val="32"/>
          <w:lang w:val="en-US" w:eastAsia="zh-CN"/>
        </w:rPr>
        <w:t>种植面积仅有8000亩，与通城10.2万亩、崇阳3万亩中药材基地相比差距较大。</w:t>
      </w:r>
      <w:r>
        <w:rPr>
          <w:rFonts w:hint="eastAsia" w:ascii="仿宋_GB2312" w:hAnsi="仿宋_GB2312" w:eastAsia="仿宋_GB2312" w:cs="仿宋_GB2312"/>
          <w:color w:val="auto"/>
          <w:sz w:val="32"/>
          <w:szCs w:val="32"/>
        </w:rPr>
        <w:t>生物医药、保健品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营养食品</w:t>
      </w:r>
      <w:r>
        <w:rPr>
          <w:rFonts w:hint="eastAsia" w:ascii="仿宋_GB2312" w:hAnsi="仿宋_GB2312" w:eastAsia="仿宋_GB2312" w:cs="仿宋_GB2312"/>
          <w:color w:val="auto"/>
          <w:sz w:val="32"/>
          <w:szCs w:val="32"/>
        </w:rPr>
        <w:t>等健康制造</w:t>
      </w:r>
      <w:r>
        <w:rPr>
          <w:rFonts w:hint="eastAsia" w:ascii="仿宋_GB2312" w:hAnsi="仿宋_GB2312" w:eastAsia="仿宋_GB2312" w:cs="仿宋_GB2312"/>
          <w:color w:val="auto"/>
          <w:sz w:val="32"/>
          <w:szCs w:val="32"/>
          <w:lang w:val="en-US" w:eastAsia="zh-CN"/>
        </w:rPr>
        <w:t>规上企业仅有12家，2022年总计规上产值不到30亿元</w:t>
      </w:r>
      <w:r>
        <w:rPr>
          <w:rFonts w:hint="eastAsia" w:ascii="仿宋_GB2312" w:hAnsi="仿宋_GB2312" w:eastAsia="仿宋_GB2312" w:cs="仿宋_GB2312"/>
          <w:color w:val="auto"/>
          <w:sz w:val="32"/>
          <w:szCs w:val="32"/>
        </w:rPr>
        <w:t>，距离百亿生物医药产业园目标差距较大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医药企业以中药材加工为主，产品结构较为单一，医疗器械、先进制药等领域尚处空白。</w:t>
      </w:r>
      <w:r>
        <w:rPr>
          <w:rFonts w:hint="eastAsia" w:ascii="仿宋_GB2312" w:hAnsi="仿宋_GB2312" w:eastAsia="仿宋_GB2312" w:cs="仿宋_GB2312"/>
          <w:b w:val="0"/>
          <w:bCs w:val="0"/>
          <w:color w:val="auto"/>
          <w:sz w:val="32"/>
          <w:szCs w:val="32"/>
          <w:lang w:val="en-US" w:eastAsia="zh-CN"/>
        </w:rPr>
        <w:t>“温泉之乡”“桂花之乡”“茶叶之乡”等资源、名声优势未转化为产业优势，咸安温泉产品创新、服务水平和硬件提档升级滞后，已从引领潮流转向被周边新开发温泉景点分流；茶叶、桂花精深加工不足，尤其桂花产业以卖苗木为主。</w:t>
      </w:r>
    </w:p>
    <w:p w14:paraId="29887F5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b/>
          <w:bCs/>
          <w:color w:val="auto"/>
          <w:sz w:val="32"/>
          <w:szCs w:val="32"/>
        </w:rPr>
        <w:t>二是市场</w:t>
      </w:r>
      <w:r>
        <w:rPr>
          <w:rFonts w:hint="eastAsia" w:ascii="仿宋_GB2312" w:hAnsi="仿宋_GB2312" w:eastAsia="仿宋_GB2312" w:cs="仿宋_GB2312"/>
          <w:b/>
          <w:bCs/>
          <w:color w:val="auto"/>
          <w:sz w:val="32"/>
          <w:szCs w:val="32"/>
          <w:lang w:val="en-US" w:eastAsia="zh-CN"/>
        </w:rPr>
        <w:t>发展环境有待优化</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咸安经开区物流及生活性服务业配套不完善，间接影响</w:t>
      </w:r>
      <w:r>
        <w:rPr>
          <w:rFonts w:hint="eastAsia" w:ascii="仿宋_GB2312" w:hAnsi="仿宋_GB2312" w:eastAsia="仿宋_GB2312" w:cs="仿宋_GB2312"/>
          <w:color w:val="auto"/>
          <w:sz w:val="32"/>
          <w:szCs w:val="32"/>
          <w:lang w:val="en-US" w:eastAsia="zh-CN"/>
        </w:rPr>
        <w:t>人才引进和企业</w:t>
      </w:r>
      <w:r>
        <w:rPr>
          <w:rFonts w:hint="eastAsia" w:ascii="仿宋_GB2312" w:hAnsi="仿宋_GB2312" w:eastAsia="仿宋_GB2312" w:cs="仿宋_GB2312"/>
          <w:color w:val="auto"/>
          <w:sz w:val="32"/>
          <w:szCs w:val="32"/>
        </w:rPr>
        <w:t>招商。自主研发和创新能力不强，生物医药、植物（桂花）提取等技术壁垒难以突破。</w:t>
      </w:r>
      <w:r>
        <w:rPr>
          <w:rFonts w:hint="eastAsia" w:ascii="仿宋_GB2312" w:hAnsi="仿宋_GB2312" w:eastAsia="仿宋_GB2312" w:cs="仿宋_GB2312"/>
          <w:color w:val="auto"/>
          <w:sz w:val="32"/>
          <w:szCs w:val="32"/>
          <w:lang w:val="en-US" w:eastAsia="zh-CN"/>
        </w:rPr>
        <w:t>温泉市场不良竞争时有发生，</w:t>
      </w:r>
      <w:r>
        <w:rPr>
          <w:rFonts w:hint="eastAsia" w:ascii="仿宋_GB2312" w:hAnsi="仿宋_GB2312" w:eastAsia="仿宋_GB2312" w:cs="仿宋_GB2312"/>
          <w:b w:val="0"/>
          <w:bCs w:val="0"/>
          <w:color w:val="auto"/>
          <w:sz w:val="32"/>
          <w:szCs w:val="32"/>
        </w:rPr>
        <w:t>部分温泉开发主体打着温泉的噱头开发房地产，太乙等项目资金链断裂，导致优势资源闲置低效，目前经营较好的温泉酒店仅剩4家。</w:t>
      </w:r>
      <w:r>
        <w:rPr>
          <w:rFonts w:hint="eastAsia" w:ascii="仿宋_GB2312" w:hAnsi="仿宋_GB2312" w:eastAsia="仿宋_GB2312" w:cs="仿宋_GB2312"/>
          <w:b w:val="0"/>
          <w:bCs w:val="0"/>
          <w:color w:val="auto"/>
          <w:sz w:val="32"/>
          <w:szCs w:val="32"/>
          <w:lang w:val="en-US" w:eastAsia="zh-CN"/>
        </w:rPr>
        <w:t>城乡健康服务</w:t>
      </w:r>
      <w:r>
        <w:rPr>
          <w:rFonts w:hint="eastAsia" w:ascii="仿宋_GB2312" w:hAnsi="仿宋_GB2312" w:eastAsia="仿宋_GB2312" w:cs="仿宋_GB2312"/>
          <w:color w:val="auto"/>
          <w:sz w:val="32"/>
          <w:szCs w:val="32"/>
        </w:rPr>
        <w:t>资源配置不</w:t>
      </w:r>
      <w:r>
        <w:rPr>
          <w:rFonts w:hint="eastAsia" w:ascii="仿宋_GB2312" w:hAnsi="仿宋_GB2312" w:eastAsia="仿宋_GB2312" w:cs="仿宋_GB2312"/>
          <w:color w:val="auto"/>
          <w:sz w:val="32"/>
          <w:szCs w:val="32"/>
          <w:lang w:val="en-US" w:eastAsia="zh-CN"/>
        </w:rPr>
        <w:t>均衡</w:t>
      </w:r>
      <w:r>
        <w:rPr>
          <w:rFonts w:hint="eastAsia" w:ascii="仿宋_GB2312" w:hAnsi="仿宋_GB2312" w:eastAsia="仿宋_GB2312" w:cs="仿宋_GB2312"/>
          <w:color w:val="auto"/>
          <w:sz w:val="32"/>
          <w:szCs w:val="32"/>
        </w:rPr>
        <w:t>，乡村体育健身配套还无法达到15分钟健身圈标准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养老机构入住率</w:t>
      </w:r>
      <w:r>
        <w:rPr>
          <w:rFonts w:hint="eastAsia" w:ascii="仿宋_GB2312" w:hAnsi="仿宋_GB2312" w:eastAsia="仿宋_GB2312" w:cs="仿宋_GB2312"/>
          <w:color w:val="auto"/>
          <w:sz w:val="32"/>
          <w:szCs w:val="32"/>
          <w:lang w:val="en-US" w:eastAsia="zh-CN"/>
        </w:rPr>
        <w:t>普遍不高</w:t>
      </w:r>
      <w:r>
        <w:rPr>
          <w:rFonts w:hint="eastAsia" w:ascii="仿宋_GB2312" w:hAnsi="仿宋_GB2312" w:eastAsia="仿宋_GB2312" w:cs="仿宋_GB2312"/>
          <w:color w:val="auto"/>
          <w:sz w:val="32"/>
          <w:szCs w:val="32"/>
        </w:rPr>
        <w:t>，城区养老院入住率</w:t>
      </w:r>
      <w:r>
        <w:rPr>
          <w:rFonts w:ascii="仿宋_GB2312" w:hAnsi="宋体" w:eastAsia="仿宋_GB2312" w:cs="仿宋_GB2312"/>
          <w:i w:val="0"/>
          <w:iCs w:val="0"/>
          <w:caps w:val="0"/>
          <w:color w:val="000000"/>
          <w:spacing w:val="0"/>
          <w:sz w:val="31"/>
          <w:szCs w:val="31"/>
          <w:shd w:val="clear" w:fill="FFFFFF"/>
        </w:rPr>
        <w:t>在40</w:t>
      </w:r>
      <w:r>
        <w:rPr>
          <w:rFonts w:hint="eastAsia" w:ascii="仿宋_GB2312" w:hAnsi="宋体" w:eastAsia="仿宋_GB2312" w:cs="仿宋_GB2312"/>
          <w:i w:val="0"/>
          <w:iCs w:val="0"/>
          <w:caps w:val="0"/>
          <w:color w:val="000000"/>
          <w:spacing w:val="0"/>
          <w:sz w:val="31"/>
          <w:szCs w:val="31"/>
          <w:shd w:val="clear" w:fill="FFFFFF"/>
        </w:rPr>
        <w:t>%</w:t>
      </w:r>
      <w:r>
        <w:rPr>
          <w:rFonts w:hint="eastAsia" w:ascii="仿宋_GB2312" w:hAnsi="仿宋_GB2312" w:eastAsia="仿宋_GB2312" w:cs="仿宋_GB2312"/>
          <w:color w:val="auto"/>
          <w:sz w:val="32"/>
          <w:szCs w:val="32"/>
        </w:rPr>
        <w:t>左右，乡镇养老院入住率不到20%。行业标准建设滞后，咸宁温泉现行标准已有13年一直未修订；桂花、民宿等咸安特色领域缺乏统一行业标准。</w:t>
      </w:r>
    </w:p>
    <w:p w14:paraId="3BE23A6B">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val="en-US" w:eastAsia="zh-CN"/>
        </w:rPr>
      </w:pPr>
      <w:bookmarkStart w:id="78" w:name="_Toc4873"/>
      <w:bookmarkStart w:id="79" w:name="_Toc841"/>
      <w:r>
        <w:rPr>
          <w:rFonts w:hint="eastAsia" w:ascii="楷体_GB2312" w:hAnsi="楷体_GB2312" w:eastAsia="楷体_GB2312" w:cs="楷体_GB2312"/>
          <w:color w:val="auto"/>
          <w:lang w:val="en-US" w:eastAsia="zh-CN"/>
        </w:rPr>
        <w:t>（七）对标人民幸福，公共服务均等化有短板</w:t>
      </w:r>
      <w:bookmarkEnd w:id="78"/>
      <w:bookmarkEnd w:id="79"/>
    </w:p>
    <w:p w14:paraId="00AAEC43">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bCs/>
          <w:color w:val="auto"/>
          <w:lang w:val="en-US" w:eastAsia="zh-CN"/>
        </w:rPr>
        <w:t>一是人才流失严重、就业增收存在短板。</w:t>
      </w:r>
      <w:r>
        <w:rPr>
          <w:rFonts w:hint="eastAsia" w:ascii="仿宋_GB2312" w:hAnsi="仿宋_GB2312" w:eastAsia="仿宋_GB2312" w:cs="仿宋_GB2312"/>
          <w:b w:val="0"/>
          <w:bCs w:val="0"/>
          <w:color w:val="auto"/>
          <w:lang w:val="en-US" w:eastAsia="zh-CN"/>
        </w:rPr>
        <w:t>受武汉等大城市虹吸作用影响，咸安区教师、医生、科研人员等优秀人才多被吸走，本土</w:t>
      </w:r>
      <w:r>
        <w:rPr>
          <w:rFonts w:hint="eastAsia" w:ascii="仿宋_GB2312" w:hAnsi="仿宋_GB2312" w:eastAsia="仿宋_GB2312" w:cs="仿宋_GB2312"/>
          <w:color w:val="auto"/>
          <w:lang w:val="en-US" w:eastAsia="zh-CN"/>
        </w:rPr>
        <w:t>培养</w:t>
      </w:r>
      <w:r>
        <w:rPr>
          <w:rFonts w:hint="eastAsia" w:ascii="仿宋_GB2312" w:hAnsi="仿宋_GB2312" w:eastAsia="仿宋_GB2312" w:cs="仿宋_GB2312"/>
          <w:b w:val="0"/>
          <w:bCs w:val="0"/>
          <w:color w:val="auto"/>
          <w:lang w:val="en-US" w:eastAsia="zh-CN"/>
        </w:rPr>
        <w:t>的优质护理人才多输送外地，高技术、高水平专业人才难引进、难留住矛盾突出。同时，就业结构性矛盾突出，一方面高校毕业生、就业困难人员、脱贫劳动力等重点群体就业压力大，一方面劳动者技能与生物医药、汽车零部件等企业需求结合不紧密，造成真奥药业、健翔制药、敏实集团等重点企业“招工难”。另外，欠薪事件增多，工程层层转包、分包、挂靠承包发生纠纷导致拖欠工资，2022年欠薪</w:t>
      </w:r>
      <w:r>
        <w:rPr>
          <w:rFonts w:ascii="仿宋_GB2312" w:hAnsi="宋体" w:eastAsia="仿宋_GB2312" w:cs="仿宋_GB2312"/>
          <w:i w:val="0"/>
          <w:iCs w:val="0"/>
          <w:caps w:val="0"/>
          <w:color w:val="000000"/>
          <w:spacing w:val="0"/>
          <w:sz w:val="31"/>
          <w:szCs w:val="31"/>
          <w:shd w:val="clear" w:fill="FFFFFF"/>
        </w:rPr>
        <w:t>投诉量</w:t>
      </w:r>
      <w:r>
        <w:rPr>
          <w:rFonts w:hint="eastAsia" w:ascii="仿宋_GB2312" w:hAnsi="仿宋_GB2312" w:eastAsia="仿宋_GB2312" w:cs="仿宋_GB2312"/>
          <w:b w:val="0"/>
          <w:bCs w:val="0"/>
          <w:color w:val="auto"/>
          <w:lang w:val="en-US" w:eastAsia="zh-CN"/>
        </w:rPr>
        <w:t>是2021年同期的2.5倍。</w:t>
      </w:r>
    </w:p>
    <w:p w14:paraId="275F089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二是城乡教育资源不均衡、乡镇教育质量不优。</w:t>
      </w:r>
      <w:r>
        <w:rPr>
          <w:rFonts w:hint="eastAsia" w:ascii="仿宋_GB2312" w:hAnsi="仿宋_GB2312" w:eastAsia="仿宋_GB2312" w:cs="仿宋_GB2312"/>
          <w:color w:val="auto"/>
          <w:lang w:val="en-US" w:eastAsia="zh-CN"/>
        </w:rPr>
        <w:t>学前教育方面，</w:t>
      </w:r>
      <w:r>
        <w:rPr>
          <w:rFonts w:hint="eastAsia" w:ascii="仿宋_GB2312" w:hAnsi="仿宋_GB2312" w:eastAsia="仿宋_GB2312" w:cs="仿宋_GB2312"/>
          <w:color w:val="auto"/>
        </w:rPr>
        <w:t>乡镇办园质量参差不齐，与城区幼儿园</w:t>
      </w:r>
      <w:r>
        <w:rPr>
          <w:rFonts w:hint="eastAsia" w:ascii="仿宋_GB2312" w:hAnsi="仿宋_GB2312" w:eastAsia="仿宋_GB2312" w:cs="仿宋_GB2312"/>
          <w:color w:val="auto"/>
          <w:lang w:val="en-US" w:eastAsia="zh-CN"/>
        </w:rPr>
        <w:t>教育水平</w:t>
      </w:r>
      <w:r>
        <w:rPr>
          <w:rFonts w:hint="eastAsia" w:ascii="仿宋_GB2312" w:hAnsi="仿宋_GB2312" w:eastAsia="仿宋_GB2312" w:cs="仿宋_GB2312"/>
          <w:b w:val="0"/>
          <w:bCs w:val="0"/>
          <w:color w:val="auto"/>
          <w:lang w:val="en-US" w:eastAsia="zh-CN"/>
        </w:rPr>
        <w:t>差距较大</w:t>
      </w:r>
      <w:r>
        <w:rPr>
          <w:rFonts w:hint="eastAsia" w:ascii="仿宋_GB2312" w:hAnsi="仿宋_GB2312" w:eastAsia="仿宋_GB2312" w:cs="仿宋_GB2312"/>
          <w:b w:val="0"/>
          <w:bCs w:val="0"/>
          <w:color w:val="auto"/>
        </w:rPr>
        <w:t>。基础教育方面</w:t>
      </w:r>
      <w:r>
        <w:rPr>
          <w:rFonts w:hint="eastAsia" w:ascii="仿宋_GB2312" w:hAnsi="仿宋_GB2312" w:eastAsia="仿宋_GB2312" w:cs="仿宋_GB2312"/>
          <w:b w:val="0"/>
          <w:bCs w:val="0"/>
          <w:color w:val="auto"/>
          <w:lang w:eastAsia="zh-CN"/>
        </w:rPr>
        <w:t>，因进</w:t>
      </w:r>
      <w:r>
        <w:rPr>
          <w:rFonts w:hint="eastAsia" w:ascii="仿宋_GB2312" w:hAnsi="仿宋_GB2312" w:eastAsia="仿宋_GB2312" w:cs="仿宋_GB2312"/>
          <w:color w:val="auto"/>
          <w:lang w:eastAsia="zh-CN"/>
        </w:rPr>
        <w:t>城务工、返乡务工、区外人口涌入等因素，近五年内主城区义务教育学生数平均每年增加4042人，预测2023年秋季城区初中缺学位1866个，初中阶段在校学生数的高峰期将出现在2025年，</w:t>
      </w:r>
      <w:r>
        <w:rPr>
          <w:rFonts w:hint="eastAsia" w:ascii="仿宋_GB2312" w:hAnsi="仿宋_GB2312" w:eastAsia="仿宋_GB2312" w:cs="仿宋_GB2312"/>
          <w:color w:val="auto"/>
          <w:lang w:val="en-US" w:eastAsia="zh-CN"/>
        </w:rPr>
        <w:t>预计突破</w:t>
      </w:r>
      <w:r>
        <w:rPr>
          <w:rFonts w:hint="eastAsia" w:ascii="仿宋_GB2312" w:hAnsi="仿宋_GB2312" w:eastAsia="仿宋_GB2312" w:cs="仿宋_GB2312"/>
          <w:color w:val="auto"/>
          <w:lang w:eastAsia="zh-CN"/>
        </w:rPr>
        <w:t>3</w:t>
      </w:r>
      <w:r>
        <w:rPr>
          <w:rFonts w:hint="eastAsia" w:ascii="仿宋_GB2312" w:hAnsi="仿宋_GB2312" w:eastAsia="仿宋_GB2312" w:cs="仿宋_GB2312"/>
          <w:color w:val="auto"/>
          <w:lang w:val="en-US" w:eastAsia="zh-CN"/>
        </w:rPr>
        <w:t>万人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城区</w:t>
      </w:r>
      <w:r>
        <w:rPr>
          <w:rFonts w:hint="eastAsia" w:ascii="仿宋_GB2312" w:hAnsi="仿宋_GB2312" w:eastAsia="仿宋_GB2312" w:cs="仿宋_GB2312"/>
          <w:color w:val="auto"/>
          <w:lang w:eastAsia="zh-CN"/>
        </w:rPr>
        <w:t>“大班额”清零任务艰巨。</w:t>
      </w:r>
      <w:r>
        <w:rPr>
          <w:rFonts w:hint="eastAsia" w:ascii="仿宋_GB2312" w:hAnsi="仿宋_GB2312" w:eastAsia="仿宋_GB2312" w:cs="仿宋_GB2312"/>
          <w:color w:val="auto"/>
          <w:lang w:val="en-US" w:eastAsia="zh-CN"/>
        </w:rPr>
        <w:t>城乡</w:t>
      </w:r>
      <w:r>
        <w:rPr>
          <w:rFonts w:hint="eastAsia" w:ascii="仿宋_GB2312" w:hAnsi="仿宋_GB2312" w:eastAsia="仿宋_GB2312" w:cs="仿宋_GB2312"/>
          <w:color w:val="auto"/>
        </w:rPr>
        <w:t>融合型教联体在活动组织、活动内容、活动数量、活动方式、活动成效等方面还存在局限性</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基于互联网的</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武咸三个课堂</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建设</w:t>
      </w:r>
      <w:r>
        <w:rPr>
          <w:rFonts w:hint="eastAsia" w:ascii="仿宋_GB2312" w:hAnsi="仿宋_GB2312" w:eastAsia="仿宋_GB2312" w:cs="仿宋_GB2312"/>
          <w:color w:val="auto"/>
          <w:lang w:val="en-US" w:eastAsia="zh-CN"/>
        </w:rPr>
        <w:t>尚未</w:t>
      </w:r>
      <w:r>
        <w:rPr>
          <w:rFonts w:hint="eastAsia" w:ascii="仿宋_GB2312" w:hAnsi="仿宋_GB2312" w:eastAsia="仿宋_GB2312" w:cs="仿宋_GB2312"/>
          <w:color w:val="auto"/>
        </w:rPr>
        <w:t>实现。</w:t>
      </w:r>
    </w:p>
    <w:p w14:paraId="5D7809C3">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三是医疗技术水平不高，医生病人“双流失”</w:t>
      </w:r>
      <w:r>
        <w:rPr>
          <w:rFonts w:hint="eastAsia" w:ascii="仿宋_GB2312" w:hAnsi="仿宋_GB2312" w:eastAsia="仿宋_GB2312" w:cs="仿宋_GB2312"/>
          <w:color w:val="auto"/>
          <w:sz w:val="32"/>
          <w:szCs w:val="32"/>
        </w:rPr>
        <w:t>。咸安区每千名老人拥有养老床位数40张，每千人口拥有执业（助理）医师数达到3.5人，均高于湖北省平均水平，全区养老、医疗设施充足，但医疗技术水平总体不高，加之</w:t>
      </w:r>
      <w:r>
        <w:rPr>
          <w:rFonts w:hint="eastAsia" w:ascii="仿宋_GB2312" w:hAnsi="仿宋_GB2312" w:eastAsia="仿宋_GB2312" w:cs="仿宋_GB2312"/>
          <w:color w:val="auto"/>
          <w:sz w:val="32"/>
          <w:szCs w:val="32"/>
          <w:lang w:val="en-US" w:eastAsia="zh-CN"/>
        </w:rPr>
        <w:t>武汉</w:t>
      </w:r>
      <w:r>
        <w:rPr>
          <w:rFonts w:hint="eastAsia" w:ascii="仿宋_GB2312" w:hAnsi="仿宋_GB2312" w:eastAsia="仿宋_GB2312" w:cs="仿宋_GB2312"/>
          <w:color w:val="auto"/>
          <w:sz w:val="32"/>
          <w:szCs w:val="32"/>
        </w:rPr>
        <w:t>市虹吸作用、医保异地通用等影响，咸安区在医护人才流失的同时，病患也被武汉市、咸宁市级医院吸走，导致区内部分医疗资源闲置，县域内就诊率低于90%，与国家要求存在差距。医联体建设联合不足，医共体牵头单位和成员单位尚未形成人财物融合的共同体，专家下沉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双向转诊</w:t>
      </w:r>
      <w:r>
        <w:rPr>
          <w:rFonts w:hint="eastAsia" w:ascii="仿宋_GB2312" w:hAnsi="仿宋_GB2312" w:eastAsia="仿宋_GB2312" w:cs="仿宋_GB2312"/>
          <w:color w:val="auto"/>
          <w:sz w:val="32"/>
          <w:szCs w:val="32"/>
          <w:lang w:val="en-US" w:eastAsia="zh-CN"/>
        </w:rPr>
        <w:t>制度</w:t>
      </w:r>
      <w:r>
        <w:rPr>
          <w:rFonts w:hint="eastAsia" w:ascii="仿宋_GB2312" w:hAnsi="仿宋_GB2312" w:eastAsia="仿宋_GB2312" w:cs="仿宋_GB2312"/>
          <w:color w:val="auto"/>
          <w:sz w:val="32"/>
          <w:szCs w:val="32"/>
        </w:rPr>
        <w:t>、人员招聘</w:t>
      </w:r>
      <w:r>
        <w:rPr>
          <w:rFonts w:hint="eastAsia" w:ascii="仿宋_GB2312" w:hAnsi="仿宋_GB2312" w:eastAsia="仿宋_GB2312" w:cs="仿宋_GB2312"/>
          <w:color w:val="auto"/>
          <w:sz w:val="32"/>
          <w:szCs w:val="32"/>
          <w:lang w:val="en-US" w:eastAsia="zh-CN"/>
        </w:rPr>
        <w:t>制度和</w:t>
      </w:r>
      <w:r>
        <w:rPr>
          <w:rFonts w:hint="eastAsia" w:ascii="仿宋_GB2312" w:hAnsi="仿宋_GB2312" w:eastAsia="仿宋_GB2312" w:cs="仿宋_GB2312"/>
          <w:color w:val="auto"/>
          <w:sz w:val="32"/>
          <w:szCs w:val="32"/>
        </w:rPr>
        <w:t>财政补助</w:t>
      </w:r>
      <w:r>
        <w:rPr>
          <w:rFonts w:hint="eastAsia" w:ascii="仿宋_GB2312" w:hAnsi="仿宋_GB2312" w:eastAsia="仿宋_GB2312" w:cs="仿宋_GB2312"/>
          <w:color w:val="auto"/>
          <w:sz w:val="32"/>
          <w:szCs w:val="32"/>
          <w:lang w:val="en-US" w:eastAsia="zh-CN"/>
        </w:rPr>
        <w:t>制度</w:t>
      </w:r>
      <w:r>
        <w:rPr>
          <w:rFonts w:hint="eastAsia" w:ascii="仿宋_GB2312" w:hAnsi="仿宋_GB2312" w:eastAsia="仿宋_GB2312" w:cs="仿宋_GB2312"/>
          <w:color w:val="auto"/>
          <w:sz w:val="32"/>
          <w:szCs w:val="32"/>
        </w:rPr>
        <w:t>不完善。</w:t>
      </w:r>
    </w:p>
    <w:p w14:paraId="15397F3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lang w:val="en-US" w:eastAsia="zh-CN"/>
        </w:rPr>
        <w:t>四是社保基金支撑能力不足。</w:t>
      </w:r>
      <w:r>
        <w:rPr>
          <w:rFonts w:hint="eastAsia" w:ascii="仿宋_GB2312" w:hAnsi="仿宋_GB2312" w:eastAsia="仿宋_GB2312" w:cs="仿宋_GB2312"/>
          <w:b w:val="0"/>
          <w:bCs w:val="0"/>
          <w:color w:val="auto"/>
          <w:lang w:val="en-US" w:eastAsia="zh-CN"/>
        </w:rPr>
        <w:t>新、老机关养老保险基金支出大、收入小，征缴和支付压力逐年增大，应</w:t>
      </w:r>
      <w:r>
        <w:rPr>
          <w:rFonts w:hint="eastAsia" w:ascii="仿宋_GB2312" w:hAnsi="仿宋_GB2312" w:eastAsia="仿宋_GB2312" w:cs="仿宋_GB2312"/>
          <w:color w:val="auto"/>
          <w:lang w:val="en-US" w:eastAsia="zh-CN"/>
        </w:rPr>
        <w:t>保不能尽保、应收而不能尽收的问题仍然存在。受经济增速下行以及疫情影响，拖欠保费比较严重，破产企业无力缴费。持续降低失业保险、工伤保险费率的政策，也影响了社会保险征缴收入</w:t>
      </w:r>
      <w:bookmarkEnd w:id="58"/>
      <w:bookmarkEnd w:id="59"/>
      <w:bookmarkEnd w:id="60"/>
      <w:bookmarkEnd w:id="61"/>
      <w:bookmarkEnd w:id="62"/>
      <w:r>
        <w:rPr>
          <w:rFonts w:hint="eastAsia" w:ascii="仿宋_GB2312" w:hAnsi="仿宋_GB2312" w:eastAsia="仿宋_GB2312" w:cs="仿宋_GB2312"/>
          <w:color w:val="auto"/>
          <w:lang w:val="en-US" w:eastAsia="zh-CN"/>
        </w:rPr>
        <w:t>。</w:t>
      </w:r>
    </w:p>
    <w:p w14:paraId="5307D830">
      <w:pPr>
        <w:pStyle w:val="4"/>
        <w:keepNext/>
        <w:keepLines/>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Times New Roman" w:hAnsi="Times New Roman" w:eastAsia="黑体" w:cs="Times New Roman"/>
          <w:color w:val="auto"/>
          <w:lang w:val="en-US" w:eastAsia="zh-CN"/>
        </w:rPr>
      </w:pPr>
      <w:bookmarkStart w:id="80" w:name="_Toc9661"/>
      <w:bookmarkStart w:id="81" w:name="_Toc21299"/>
      <w:r>
        <w:rPr>
          <w:rFonts w:hint="eastAsia" w:ascii="Times New Roman" w:hAnsi="Times New Roman" w:eastAsia="黑体" w:cs="Times New Roman"/>
          <w:color w:val="auto"/>
          <w:lang w:val="en-US" w:eastAsia="zh-CN"/>
        </w:rPr>
        <w:t>三</w:t>
      </w:r>
      <w:r>
        <w:rPr>
          <w:rFonts w:hint="eastAsia" w:ascii="Times New Roman" w:hAnsi="Times New Roman" w:eastAsia="黑体" w:cs="Times New Roman"/>
          <w:color w:val="auto"/>
        </w:rPr>
        <w:t>、形势</w:t>
      </w:r>
      <w:r>
        <w:rPr>
          <w:rFonts w:hint="eastAsia" w:ascii="Times New Roman" w:hAnsi="Times New Roman" w:cs="Times New Roman"/>
          <w:color w:val="auto"/>
          <w:lang w:val="en-US" w:eastAsia="zh-CN"/>
        </w:rPr>
        <w:t>研判</w:t>
      </w:r>
      <w:r>
        <w:rPr>
          <w:rFonts w:hint="eastAsia" w:ascii="Times New Roman" w:hAnsi="Times New Roman" w:eastAsia="黑体" w:cs="Times New Roman"/>
          <w:color w:val="auto"/>
        </w:rPr>
        <w:t>与指标</w:t>
      </w:r>
      <w:bookmarkEnd w:id="63"/>
      <w:bookmarkEnd w:id="64"/>
      <w:bookmarkEnd w:id="65"/>
      <w:bookmarkEnd w:id="66"/>
      <w:bookmarkEnd w:id="67"/>
      <w:bookmarkEnd w:id="80"/>
      <w:r>
        <w:rPr>
          <w:rFonts w:hint="eastAsia" w:ascii="Times New Roman" w:hAnsi="Times New Roman" w:cs="Times New Roman"/>
          <w:color w:val="auto"/>
          <w:lang w:val="en-US" w:eastAsia="zh-CN"/>
        </w:rPr>
        <w:t>可完成情况预测</w:t>
      </w:r>
      <w:bookmarkEnd w:id="81"/>
    </w:p>
    <w:p w14:paraId="6276F4B4">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val="en-US" w:eastAsia="zh-CN"/>
        </w:rPr>
      </w:pPr>
      <w:bookmarkStart w:id="82" w:name="_Toc30072_WPSOffice_Level2"/>
      <w:bookmarkStart w:id="83" w:name="_Toc531593584"/>
      <w:bookmarkStart w:id="84" w:name="_Toc21440_WPSOffice_Level2"/>
      <w:bookmarkStart w:id="85" w:name="_Toc31062_WPSOffice_Level2"/>
      <w:bookmarkStart w:id="86" w:name="_Toc8909"/>
      <w:bookmarkStart w:id="87" w:name="_Toc23733"/>
      <w:bookmarkStart w:id="88" w:name="_Toc19707"/>
      <w:bookmarkStart w:id="89" w:name="_Toc518460840"/>
      <w:r>
        <w:rPr>
          <w:rFonts w:hint="eastAsia" w:ascii="楷体_GB2312" w:hAnsi="楷体_GB2312" w:eastAsia="楷体_GB2312" w:cs="楷体_GB2312"/>
          <w:color w:val="auto"/>
          <w:lang w:val="en-US" w:eastAsia="zh-CN"/>
        </w:rPr>
        <w:t>（一）发展形势</w:t>
      </w:r>
      <w:bookmarkEnd w:id="82"/>
      <w:bookmarkEnd w:id="83"/>
      <w:bookmarkEnd w:id="84"/>
      <w:bookmarkEnd w:id="85"/>
      <w:r>
        <w:rPr>
          <w:rFonts w:hint="eastAsia" w:ascii="楷体_GB2312" w:hAnsi="楷体_GB2312" w:eastAsia="楷体_GB2312" w:cs="楷体_GB2312"/>
          <w:color w:val="auto"/>
          <w:lang w:val="en-US" w:eastAsia="zh-CN"/>
        </w:rPr>
        <w:t>研判</w:t>
      </w:r>
      <w:bookmarkEnd w:id="86"/>
      <w:bookmarkEnd w:id="87"/>
      <w:bookmarkEnd w:id="88"/>
    </w:p>
    <w:p w14:paraId="53EF6EDA">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“十四五”下半场</w:t>
      </w:r>
      <w:r>
        <w:rPr>
          <w:rFonts w:hint="eastAsia" w:ascii="仿宋_GB2312" w:hAnsi="仿宋_GB2312" w:eastAsia="仿宋_GB2312" w:cs="仿宋_GB2312"/>
          <w:color w:val="auto"/>
        </w:rPr>
        <w:t>是全面建设社会主义现代化国家开局起步的关键时期</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也是咸安贯彻落实</w:t>
      </w:r>
      <w:r>
        <w:rPr>
          <w:rFonts w:ascii="仿宋_GB2312" w:hAnsi="宋体" w:eastAsia="仿宋_GB2312" w:cs="仿宋_GB2312"/>
          <w:i w:val="0"/>
          <w:iCs w:val="0"/>
          <w:caps w:val="0"/>
          <w:color w:val="000000"/>
          <w:spacing w:val="0"/>
          <w:sz w:val="31"/>
          <w:szCs w:val="31"/>
          <w:shd w:val="clear" w:fill="FFFFFF"/>
        </w:rPr>
        <w:t>党的二十大精神</w:t>
      </w:r>
      <w:r>
        <w:rPr>
          <w:rFonts w:hint="eastAsia" w:ascii="仿宋_GB2312" w:hAnsi="仿宋_GB2312" w:eastAsia="仿宋_GB2312" w:cs="仿宋_GB2312"/>
          <w:color w:val="auto"/>
          <w:lang w:val="en-US" w:eastAsia="zh-CN"/>
        </w:rPr>
        <w:t>、全面完成“十四五”规划的关键阶段，咸安区的发展环境面临深刻复杂变化，仍处于加快发展的重要战略机遇期。</w:t>
      </w:r>
    </w:p>
    <w:p w14:paraId="5B1EB97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国内形势：高质量发展</w:t>
      </w:r>
      <w:r>
        <w:rPr>
          <w:rFonts w:hint="eastAsia" w:ascii="仿宋_GB2312" w:hAnsi="仿宋_GB2312" w:eastAsia="仿宋_GB2312" w:cs="仿宋_GB2312"/>
          <w:color w:val="auto"/>
          <w:lang w:val="en-US" w:eastAsia="zh-CN"/>
        </w:rPr>
        <w:t>。世界百年未有之大变局加速演进，和平与发展仍然是时代主题。我国疫情防控平稳转段后，国民经济持续恢复、总体回升向好，高质量发展稳步推进，虽然面临国内需求不足、一些企业经营困难、重点领域风险隐患较多、外部环境复杂严峻等困难挑战，但我国经济具有巨大的发展韧性和潜力，长期向好的基本面没有改变。2023年上半年，全国GDP同比增长5.5%，经济增速明显快于世界主要发达经济体。随着中部崛起、长江经济带、长江中游城市群等区域战略持续实施，有利于咸安区对接长三角、珠三角，加速承接汽车零配件、生物医药、电子信息等产业转移。随着加速构建双循环新发展格局，加快推进“一带一路”倡议，保障中欧班列稳定畅通等稳外贸措施，有利于咸安区砖茶、苎麻纺织等特色优势产业走出去。随着扩大内需、健康中国加快推进、全国老龄化加速，有利于促进咸安区大健康产业加速壮大，形成新的经济增长点。</w:t>
      </w:r>
    </w:p>
    <w:p w14:paraId="4EFB8348">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省内环境：构建先行区</w:t>
      </w:r>
      <w:r>
        <w:rPr>
          <w:rFonts w:hint="eastAsia" w:ascii="仿宋_GB2312" w:hAnsi="仿宋_GB2312" w:eastAsia="仿宋_GB2312" w:cs="仿宋_GB2312"/>
          <w:color w:val="auto"/>
          <w:lang w:val="en-US" w:eastAsia="zh-CN"/>
        </w:rPr>
        <w:t>。湖北省不负“建成支点、走在前列、谱写新篇”的光荣使命，面对疫后恢复重振的艰巨任务，用两年半时间实现经济强势复苏，2023年上半年全省GDP同比增长5.6%，高于全国平均水平。“十四五”下半场，湖北省大力实施强县工程，以流域综合治理为基础推进“四化”同步发展，推动城市和产业集中高质量发展，努力建设全国构建新发展格局先行区。加快建设以武鄂黄黄为核心的武汉都市圈，并辐射带动孝感、咸宁、仙桃、天门、潜江等一体化发展，将武汉都市圈打造成为引领湖北、支撑中部、辐射全国、影响世界的重要增长极，有利于咸安区发挥交通区位、土地储备、自然生态、优质农业比较优势，加速承接武汉高校外迁、产业转移、功能溢出、康养休闲和优质农产品需求，做好武汉大健康、生物医药、电子信息、汽车产业配套基地，打造武汉都市圈康养基地、优质农产品供应基地。武咸同城加速推进，有利于咸安区共享武汉市医疗、教育、社保等公共服务，辐射带动咸安区人民生活更加幸福。</w:t>
      </w:r>
    </w:p>
    <w:p w14:paraId="0B11E635">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咸宁市情：绿色转型发展</w:t>
      </w:r>
      <w:r>
        <w:rPr>
          <w:rFonts w:hint="eastAsia" w:ascii="仿宋_GB2312" w:hAnsi="仿宋_GB2312" w:eastAsia="仿宋_GB2312" w:cs="仿宋_GB2312"/>
          <w:color w:val="auto"/>
          <w:lang w:val="en-US" w:eastAsia="zh-CN"/>
        </w:rPr>
        <w:t>。咸宁市将围绕武汉都市圈自然生态公园城市发展定位，厚植生态本底，加快绿色转型发展，构建“武咸同城、市区引领、两带驱动、全域推进”区域发展布局，深度推动城市向“北”发展，将北三县打造成为对接武汉的“桥头堡”，有利于咸安区发挥唯一市区优势，建设咸宁配套武汉、支持武汉做大做强的核心引擎，进一步突出咸安在咸宁市的要素集聚功能和核心引领功能。</w:t>
      </w:r>
    </w:p>
    <w:p w14:paraId="76172DB8">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咸安区情</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b/>
          <w:bCs/>
          <w:color w:val="auto"/>
          <w:lang w:val="en-US" w:eastAsia="zh-CN"/>
        </w:rPr>
        <w:t>市区一体发展</w:t>
      </w:r>
      <w:r>
        <w:rPr>
          <w:rFonts w:hint="eastAsia" w:ascii="仿宋_GB2312" w:hAnsi="仿宋_GB2312" w:eastAsia="仿宋_GB2312" w:cs="仿宋_GB2312"/>
          <w:color w:val="auto"/>
          <w:lang w:val="en-US" w:eastAsia="zh-CN"/>
        </w:rPr>
        <w:t>。咸安市区一体、要素集聚的特色优势没有改变，在全市和区域发展中的重要地位没有改变，全区将坚定市区一体发展路子，切实做到共谋共建共享，借力蓄势，一体化推进城乡建设和产业发展，擦亮“中国桂花城”“华中康养区”两张名片，打造“文明城市、城乡统筹、营商环境、人民幸福”四个首善之区，促进咸安县域经济进入全省“百强储备”，为咸宁建设武汉都市圈自然生态公园城市作出咸安贡献，全区发展机遇叠加、后劲十足。</w:t>
      </w:r>
    </w:p>
    <w:p w14:paraId="23E2864D">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综合来看，“十四五”下半场甚至更长时间，咸安区正处在战略机遇叠加期、发展空间拓展期、产业布局优化期、区域治理提升期；也处于疫后恢复成势见效期、改革创新爬坡期、经济转型关键期，机遇大于挑战，发展前景广阔。</w:t>
      </w:r>
    </w:p>
    <w:p w14:paraId="6E3CCB0D">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楷体_GB2312" w:hAnsi="楷体_GB2312" w:eastAsia="楷体_GB2312" w:cs="楷体_GB2312"/>
          <w:color w:val="auto"/>
          <w:lang w:val="en-US" w:eastAsia="zh-CN"/>
        </w:rPr>
      </w:pPr>
      <w:bookmarkStart w:id="90" w:name="_Toc13254_WPSOffice_Level2"/>
      <w:bookmarkStart w:id="91" w:name="_Toc531593585"/>
      <w:bookmarkStart w:id="92" w:name="_Toc13762_WPSOffice_Level2"/>
      <w:bookmarkStart w:id="93" w:name="_Toc15594_WPSOffice_Level2"/>
      <w:bookmarkStart w:id="94" w:name="_Toc18169"/>
      <w:bookmarkStart w:id="95" w:name="_Toc7650"/>
      <w:bookmarkStart w:id="96" w:name="_Toc7072"/>
      <w:r>
        <w:rPr>
          <w:rFonts w:hint="default" w:ascii="楷体_GB2312" w:hAnsi="楷体_GB2312" w:eastAsia="楷体_GB2312" w:cs="楷体_GB2312"/>
          <w:color w:val="auto"/>
          <w:lang w:val="en-US" w:eastAsia="zh-CN"/>
        </w:rPr>
        <w:t>（二）期末指标</w:t>
      </w:r>
      <w:bookmarkEnd w:id="90"/>
      <w:bookmarkEnd w:id="91"/>
      <w:bookmarkEnd w:id="92"/>
      <w:bookmarkEnd w:id="93"/>
      <w:r>
        <w:rPr>
          <w:rFonts w:hint="default" w:ascii="楷体_GB2312" w:hAnsi="楷体_GB2312" w:eastAsia="楷体_GB2312" w:cs="楷体_GB2312"/>
          <w:color w:val="auto"/>
          <w:lang w:val="en-US" w:eastAsia="zh-CN"/>
        </w:rPr>
        <w:t>可完成情况预测</w:t>
      </w:r>
      <w:bookmarkEnd w:id="94"/>
      <w:bookmarkEnd w:id="95"/>
      <w:bookmarkEnd w:id="96"/>
    </w:p>
    <w:p w14:paraId="6CCBEB0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bookmarkStart w:id="97" w:name="_Toc518460842"/>
      <w:r>
        <w:rPr>
          <w:rFonts w:hint="eastAsia" w:ascii="仿宋_GB2312" w:hAnsi="仿宋_GB2312" w:eastAsia="仿宋_GB2312" w:cs="仿宋_GB2312"/>
          <w:color w:val="auto"/>
        </w:rPr>
        <w:t>经预测评估分析，《</w:t>
      </w:r>
      <w:r>
        <w:rPr>
          <w:rFonts w:hint="eastAsia" w:ascii="仿宋_GB2312" w:hAnsi="仿宋_GB2312" w:eastAsia="仿宋_GB2312" w:cs="仿宋_GB2312"/>
          <w:color w:val="auto"/>
          <w:lang w:val="en-US" w:eastAsia="zh-CN"/>
        </w:rPr>
        <w:t>规划</w:t>
      </w:r>
      <w:r>
        <w:rPr>
          <w:rFonts w:hint="eastAsia" w:ascii="仿宋_GB2312" w:hAnsi="仿宋_GB2312" w:eastAsia="仿宋_GB2312" w:cs="仿宋_GB2312"/>
          <w:color w:val="auto"/>
        </w:rPr>
        <w:t>》设定的</w:t>
      </w: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rPr>
        <w:t>个</w:t>
      </w:r>
      <w:r>
        <w:rPr>
          <w:rFonts w:hint="eastAsia" w:ascii="仿宋_GB2312" w:hAnsi="仿宋_GB2312" w:eastAsia="仿宋_GB2312" w:cs="仿宋_GB2312"/>
          <w:color w:val="auto"/>
          <w:lang w:val="en-US" w:eastAsia="zh-CN"/>
        </w:rPr>
        <w:t>领域25</w:t>
      </w:r>
      <w:r>
        <w:rPr>
          <w:rFonts w:hint="eastAsia" w:ascii="仿宋_GB2312" w:hAnsi="仿宋_GB2312" w:eastAsia="仿宋_GB2312" w:cs="仿宋_GB2312"/>
          <w:color w:val="auto"/>
        </w:rPr>
        <w:t>项指标中，有</w:t>
      </w:r>
      <w:r>
        <w:rPr>
          <w:rFonts w:hint="eastAsia" w:ascii="仿宋_GB2312" w:hAnsi="仿宋_GB2312" w:eastAsia="仿宋_GB2312" w:cs="仿宋_GB2312"/>
          <w:color w:val="auto"/>
          <w:lang w:val="en-US" w:eastAsia="zh-CN"/>
        </w:rPr>
        <w:t>4项指标已提前完成，17项指标可顺利完成，单位GDP能源消耗降低、森林覆盖率、研发经费投入增长、规模以上工业增加值等4</w:t>
      </w:r>
      <w:r>
        <w:rPr>
          <w:rFonts w:hint="eastAsia" w:ascii="仿宋_GB2312" w:hAnsi="仿宋_GB2312" w:eastAsia="仿宋_GB2312" w:cs="仿宋_GB2312"/>
          <w:color w:val="auto"/>
        </w:rPr>
        <w:t>项指标</w:t>
      </w:r>
      <w:r>
        <w:rPr>
          <w:rFonts w:hint="eastAsia" w:ascii="仿宋_GB2312" w:hAnsi="仿宋_GB2312" w:eastAsia="仿宋_GB2312" w:cs="仿宋_GB2312"/>
          <w:color w:val="auto"/>
          <w:lang w:val="en-US" w:eastAsia="zh-CN"/>
        </w:rPr>
        <w:t>需力争完成</w:t>
      </w:r>
      <w:r>
        <w:rPr>
          <w:rFonts w:hint="eastAsia" w:ascii="仿宋_GB2312" w:hAnsi="仿宋_GB2312" w:eastAsia="仿宋_GB2312" w:cs="仿宋_GB2312"/>
          <w:color w:val="auto"/>
        </w:rPr>
        <w:t>。</w:t>
      </w:r>
    </w:p>
    <w:p w14:paraId="319276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表3：规划指标预测可完成情况</w:t>
      </w:r>
    </w:p>
    <w:tbl>
      <w:tblPr>
        <w:tblStyle w:val="19"/>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7"/>
        <w:gridCol w:w="1790"/>
        <w:gridCol w:w="5699"/>
      </w:tblGrid>
      <w:tr w14:paraId="230F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649" w:type="pct"/>
            <w:shd w:val="clear" w:color="auto" w:fill="C7DAF1"/>
            <w:noWrap w:val="0"/>
            <w:vAlign w:val="center"/>
          </w:tcPr>
          <w:p w14:paraId="734B7B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分类</w:t>
            </w:r>
          </w:p>
        </w:tc>
        <w:tc>
          <w:tcPr>
            <w:tcW w:w="1040" w:type="pct"/>
            <w:shd w:val="clear" w:color="auto" w:fill="C7DAF1"/>
            <w:noWrap w:val="0"/>
            <w:vAlign w:val="center"/>
          </w:tcPr>
          <w:p w14:paraId="7AC987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具体分类</w:t>
            </w:r>
          </w:p>
        </w:tc>
        <w:tc>
          <w:tcPr>
            <w:tcW w:w="3310" w:type="pct"/>
            <w:shd w:val="clear" w:color="auto" w:fill="C7DAF1"/>
            <w:noWrap w:val="0"/>
            <w:vAlign w:val="center"/>
          </w:tcPr>
          <w:p w14:paraId="17F9B7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具体包括</w:t>
            </w:r>
          </w:p>
        </w:tc>
      </w:tr>
      <w:tr w14:paraId="2CA89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649" w:type="pct"/>
            <w:vMerge w:val="restart"/>
            <w:noWrap w:val="0"/>
            <w:vAlign w:val="center"/>
          </w:tcPr>
          <w:p w14:paraId="0380684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可完成的指标</w:t>
            </w:r>
          </w:p>
        </w:tc>
        <w:tc>
          <w:tcPr>
            <w:tcW w:w="1040" w:type="pct"/>
            <w:noWrap w:val="0"/>
            <w:vAlign w:val="center"/>
          </w:tcPr>
          <w:p w14:paraId="18CDA1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已提前完成的指标4项</w:t>
            </w:r>
          </w:p>
        </w:tc>
        <w:tc>
          <w:tcPr>
            <w:tcW w:w="3310" w:type="pct"/>
            <w:noWrap w:val="0"/>
            <w:vAlign w:val="center"/>
          </w:tcPr>
          <w:p w14:paraId="619D80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1项约束性指标：</w:t>
            </w:r>
          </w:p>
          <w:p w14:paraId="31C7D05C">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both"/>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常住人口城镇化率</w:t>
            </w:r>
          </w:p>
          <w:p w14:paraId="556BCC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3项预期性指标：</w:t>
            </w:r>
          </w:p>
          <w:p w14:paraId="596B239A">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both"/>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b w:val="0"/>
                <w:bCs w:val="0"/>
                <w:color w:val="auto"/>
                <w:sz w:val="24"/>
                <w:szCs w:val="24"/>
                <w:vertAlign w:val="baseline"/>
                <w:lang w:val="en-US" w:eastAsia="zh-CN"/>
              </w:rPr>
              <w:t>每万人发明专利拥有量、</w:t>
            </w:r>
            <w:r>
              <w:rPr>
                <w:rFonts w:hint="default" w:ascii="Times New Roman" w:hAnsi="Times New Roman" w:eastAsia="仿宋_GB2312" w:cs="Times New Roman"/>
                <w:color w:val="auto"/>
                <w:sz w:val="24"/>
                <w:szCs w:val="24"/>
                <w:vertAlign w:val="baseline"/>
                <w:lang w:val="en-US" w:eastAsia="zh-CN"/>
              </w:rPr>
              <w:t>每千人口拥有执业（助理）医师数、每千人口拥有0-3岁婴幼儿托位数</w:t>
            </w:r>
          </w:p>
        </w:tc>
      </w:tr>
      <w:tr w14:paraId="39F3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649" w:type="pct"/>
            <w:vMerge w:val="continue"/>
            <w:noWrap w:val="0"/>
            <w:vAlign w:val="center"/>
          </w:tcPr>
          <w:p w14:paraId="49070C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vertAlign w:val="baseline"/>
                <w:lang w:val="en-US" w:eastAsia="zh-CN"/>
              </w:rPr>
            </w:pPr>
          </w:p>
        </w:tc>
        <w:tc>
          <w:tcPr>
            <w:tcW w:w="1040" w:type="pct"/>
            <w:noWrap w:val="0"/>
            <w:vAlign w:val="center"/>
          </w:tcPr>
          <w:p w14:paraId="73D835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可顺利完成的指标17项</w:t>
            </w:r>
          </w:p>
        </w:tc>
        <w:tc>
          <w:tcPr>
            <w:tcW w:w="3310" w:type="pct"/>
            <w:noWrap w:val="0"/>
            <w:vAlign w:val="center"/>
          </w:tcPr>
          <w:p w14:paraId="5E721B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仿宋_GB2312" w:cs="Times New Roman"/>
                <w:b w:val="0"/>
                <w:bCs w:val="0"/>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7个约束性指标：</w:t>
            </w:r>
          </w:p>
          <w:p w14:paraId="316312B2">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both"/>
              <w:textAlignment w:val="auto"/>
              <w:rPr>
                <w:rFonts w:hint="default" w:ascii="Times New Roman" w:hAnsi="Times New Roman" w:eastAsia="仿宋_GB2312" w:cs="Times New Roman"/>
                <w:b w:val="0"/>
                <w:bCs w:val="0"/>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万元GDP用水量降低、</w:t>
            </w:r>
            <w:r>
              <w:rPr>
                <w:rFonts w:hint="default" w:ascii="Times New Roman" w:hAnsi="Times New Roman" w:eastAsia="仿宋_GB2312" w:cs="Times New Roman"/>
                <w:b w:val="0"/>
                <w:bCs w:val="0"/>
                <w:color w:val="auto"/>
                <w:sz w:val="24"/>
                <w:szCs w:val="24"/>
                <w:vertAlign w:val="baseline"/>
                <w:lang w:val="en-US" w:eastAsia="zh-CN"/>
              </w:rPr>
              <w:t>单位GDP二氧化碳排放降低、地表水达到或好于Ⅲ类水体比例、城市空气质量优良天数比例、万元GDP地耗降低、粮食综合生产能力、能源综合生产能力</w:t>
            </w:r>
          </w:p>
          <w:p w14:paraId="45D07E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10个预期性指标：</w:t>
            </w:r>
          </w:p>
          <w:p w14:paraId="5D3C0FFA">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val="0"/>
                <w:bCs w:val="0"/>
                <w:color w:val="auto"/>
                <w:sz w:val="24"/>
                <w:szCs w:val="24"/>
                <w:vertAlign w:val="baseline"/>
                <w:lang w:val="en-US" w:eastAsia="zh-CN"/>
              </w:rPr>
              <w:t>地区生产总值、全员劳动生产率、高新技术产业增加值占GDP比重、数字经济核心产业增加值占GDP比重、城镇居民人均可支配收入、农村居民人均可支配收入、城镇调查失业率、人均预期寿命、劳动年龄人口平均受教育年限、基本养老保险参保率</w:t>
            </w:r>
          </w:p>
        </w:tc>
      </w:tr>
      <w:tr w14:paraId="4D62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649" w:type="pct"/>
            <w:vMerge w:val="continue"/>
            <w:noWrap w:val="0"/>
            <w:vAlign w:val="center"/>
          </w:tcPr>
          <w:p w14:paraId="50BBC9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vertAlign w:val="baseline"/>
                <w:lang w:val="en-US" w:eastAsia="zh-CN"/>
              </w:rPr>
            </w:pPr>
          </w:p>
        </w:tc>
        <w:tc>
          <w:tcPr>
            <w:tcW w:w="1040" w:type="pct"/>
            <w:noWrap w:val="0"/>
            <w:vAlign w:val="center"/>
          </w:tcPr>
          <w:p w14:paraId="0C2797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需力争完成的指标</w:t>
            </w:r>
            <w:r>
              <w:rPr>
                <w:rFonts w:hint="eastAsia" w:ascii="Times New Roman" w:hAnsi="Times New Roman" w:eastAsia="仿宋_GB2312" w:cs="Times New Roman"/>
                <w:color w:val="auto"/>
                <w:sz w:val="24"/>
                <w:szCs w:val="24"/>
                <w:vertAlign w:val="baseline"/>
                <w:lang w:val="en-US" w:eastAsia="zh-CN"/>
              </w:rPr>
              <w:t>4</w:t>
            </w:r>
            <w:r>
              <w:rPr>
                <w:rFonts w:hint="default" w:ascii="Times New Roman" w:hAnsi="Times New Roman" w:eastAsia="仿宋_GB2312" w:cs="Times New Roman"/>
                <w:color w:val="auto"/>
                <w:sz w:val="24"/>
                <w:szCs w:val="24"/>
                <w:vertAlign w:val="baseline"/>
                <w:lang w:val="en-US" w:eastAsia="zh-CN"/>
              </w:rPr>
              <w:t>项</w:t>
            </w:r>
          </w:p>
        </w:tc>
        <w:tc>
          <w:tcPr>
            <w:tcW w:w="3310" w:type="pct"/>
            <w:noWrap w:val="0"/>
            <w:vAlign w:val="center"/>
          </w:tcPr>
          <w:p w14:paraId="51CD4E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仿宋_GB2312" w:cs="Times New Roman"/>
                <w:b/>
                <w:bCs/>
                <w:color w:val="auto"/>
                <w:sz w:val="24"/>
                <w:szCs w:val="24"/>
                <w:lang w:val="en-US" w:eastAsia="zh-CN"/>
              </w:rPr>
            </w:pPr>
            <w:r>
              <w:rPr>
                <w:rFonts w:hint="eastAsia" w:ascii="Times New Roman" w:hAnsi="Times New Roman" w:eastAsia="仿宋_GB2312" w:cs="Times New Roman"/>
                <w:b/>
                <w:bCs/>
                <w:color w:val="auto"/>
                <w:sz w:val="24"/>
                <w:szCs w:val="24"/>
                <w:lang w:val="en-US" w:eastAsia="zh-CN"/>
              </w:rPr>
              <w:t>2</w:t>
            </w:r>
            <w:r>
              <w:rPr>
                <w:rFonts w:hint="default" w:ascii="Times New Roman" w:hAnsi="Times New Roman" w:eastAsia="仿宋_GB2312" w:cs="Times New Roman"/>
                <w:b/>
                <w:bCs/>
                <w:color w:val="auto"/>
                <w:sz w:val="24"/>
                <w:szCs w:val="24"/>
                <w:lang w:val="en-US" w:eastAsia="zh-CN"/>
              </w:rPr>
              <w:t>个约束性指标：</w:t>
            </w:r>
          </w:p>
          <w:p w14:paraId="54124475">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单位GDP能源消耗降低</w:t>
            </w:r>
          </w:p>
          <w:p w14:paraId="0FBD34A8">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both"/>
              <w:textAlignment w:val="auto"/>
              <w:rPr>
                <w:rFonts w:hint="default"/>
                <w:color w:val="auto"/>
                <w:lang w:val="en-US" w:eastAsia="zh-CN"/>
              </w:rPr>
            </w:pPr>
            <w:r>
              <w:rPr>
                <w:rFonts w:hint="default" w:ascii="Times New Roman" w:hAnsi="Times New Roman" w:eastAsia="仿宋_GB2312" w:cs="Times New Roman"/>
                <w:b w:val="0"/>
                <w:bCs w:val="0"/>
                <w:color w:val="auto"/>
                <w:sz w:val="24"/>
                <w:szCs w:val="24"/>
                <w:vertAlign w:val="baseline"/>
                <w:lang w:val="en-US" w:eastAsia="zh-CN"/>
              </w:rPr>
              <w:t>森林覆盖率</w:t>
            </w:r>
          </w:p>
          <w:p w14:paraId="692527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2项预期性指标：</w:t>
            </w:r>
          </w:p>
          <w:p w14:paraId="3DC7204C">
            <w:pPr>
              <w:spacing w:line="240" w:lineRule="auto"/>
              <w:ind w:firstLine="480"/>
              <w:rPr>
                <w:rFonts w:hint="default" w:ascii="Times New Roman" w:hAnsi="Times New Roman" w:eastAsia="仿宋_GB2312" w:cs="Times New Roman"/>
                <w:b w:val="0"/>
                <w:bCs w:val="0"/>
                <w:color w:val="auto"/>
                <w:sz w:val="24"/>
                <w:szCs w:val="24"/>
                <w:vertAlign w:val="baseline"/>
                <w:lang w:val="en-US" w:eastAsia="zh-CN"/>
              </w:rPr>
            </w:pPr>
            <w:r>
              <w:rPr>
                <w:rFonts w:hint="default" w:ascii="Times New Roman" w:hAnsi="Times New Roman" w:eastAsia="仿宋_GB2312" w:cs="Times New Roman"/>
                <w:b w:val="0"/>
                <w:bCs w:val="0"/>
                <w:color w:val="auto"/>
                <w:sz w:val="24"/>
                <w:szCs w:val="24"/>
                <w:vertAlign w:val="baseline"/>
                <w:lang w:val="en-US" w:eastAsia="zh-CN"/>
              </w:rPr>
              <w:t>研发经费投入增长</w:t>
            </w:r>
          </w:p>
          <w:p w14:paraId="1A16ECFA">
            <w:pPr>
              <w:spacing w:line="240" w:lineRule="auto"/>
              <w:ind w:firstLine="480"/>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b w:val="0"/>
                <w:bCs w:val="0"/>
                <w:color w:val="auto"/>
                <w:sz w:val="24"/>
                <w:szCs w:val="24"/>
                <w:vertAlign w:val="baseline"/>
                <w:lang w:val="en-US" w:eastAsia="zh-CN"/>
              </w:rPr>
              <w:t>规模以上工业增加值</w:t>
            </w:r>
          </w:p>
        </w:tc>
      </w:tr>
      <w:tr w14:paraId="0741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649" w:type="pct"/>
            <w:noWrap w:val="0"/>
            <w:vAlign w:val="center"/>
          </w:tcPr>
          <w:p w14:paraId="6A7BAF9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总计</w:t>
            </w:r>
          </w:p>
        </w:tc>
        <w:tc>
          <w:tcPr>
            <w:tcW w:w="1040" w:type="pct"/>
            <w:noWrap w:val="0"/>
            <w:vAlign w:val="center"/>
          </w:tcPr>
          <w:p w14:paraId="1088B5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25项</w:t>
            </w:r>
          </w:p>
        </w:tc>
        <w:tc>
          <w:tcPr>
            <w:tcW w:w="3310" w:type="pct"/>
            <w:noWrap w:val="0"/>
            <w:vAlign w:val="center"/>
          </w:tcPr>
          <w:p w14:paraId="2F5AAC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仿宋_GB2312" w:cs="Times New Roman"/>
                <w:b/>
                <w:bCs/>
                <w:color w:val="auto"/>
                <w:sz w:val="24"/>
                <w:szCs w:val="24"/>
                <w:vertAlign w:val="baseline"/>
                <w:lang w:val="en-US" w:eastAsia="zh-CN"/>
              </w:rPr>
            </w:pPr>
            <w:r>
              <w:rPr>
                <w:rFonts w:hint="default" w:ascii="Times New Roman" w:hAnsi="Times New Roman" w:eastAsia="仿宋_GB2312" w:cs="Times New Roman"/>
                <w:b/>
                <w:bCs/>
                <w:color w:val="auto"/>
                <w:sz w:val="24"/>
                <w:szCs w:val="24"/>
                <w:vertAlign w:val="baseline"/>
                <w:lang w:val="en-US" w:eastAsia="zh-CN"/>
              </w:rPr>
              <w:t>共计约束性指标10个、预期性指标15个</w:t>
            </w:r>
          </w:p>
        </w:tc>
      </w:tr>
      <w:bookmarkEnd w:id="89"/>
      <w:bookmarkEnd w:id="97"/>
    </w:tbl>
    <w:p w14:paraId="10B355D1">
      <w:pPr>
        <w:bidi w:val="0"/>
        <w:rPr>
          <w:rFonts w:hint="eastAsia"/>
          <w:color w:val="auto"/>
          <w:lang w:val="en-US" w:eastAsia="zh-CN"/>
        </w:rPr>
      </w:pPr>
      <w:bookmarkStart w:id="98" w:name="_Toc10106_WPSOffice_Level1"/>
      <w:bookmarkStart w:id="99" w:name="_Toc22502_WPSOffice_Level1"/>
      <w:bookmarkStart w:id="100" w:name="_Toc518460843"/>
      <w:bookmarkStart w:id="101" w:name="_Toc23622_WPSOffice_Level1"/>
      <w:bookmarkStart w:id="102" w:name="_Toc8527"/>
      <w:bookmarkStart w:id="103" w:name="_Toc203"/>
      <w:bookmarkStart w:id="104" w:name="_Toc531593589"/>
    </w:p>
    <w:p w14:paraId="5FBBB2DD">
      <w:pPr>
        <w:pStyle w:val="4"/>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黑体" w:hAnsi="黑体" w:eastAsia="黑体" w:cs="黑体"/>
          <w:color w:val="auto"/>
        </w:rPr>
      </w:pPr>
      <w:bookmarkStart w:id="105" w:name="_Toc24635"/>
      <w:r>
        <w:rPr>
          <w:rFonts w:hint="eastAsia" w:ascii="黑体" w:hAnsi="黑体" w:eastAsia="黑体" w:cs="黑体"/>
          <w:color w:val="auto"/>
          <w:lang w:val="en-US" w:eastAsia="zh-CN"/>
        </w:rPr>
        <w:t>四</w:t>
      </w:r>
      <w:r>
        <w:rPr>
          <w:rFonts w:hint="eastAsia" w:ascii="黑体" w:hAnsi="黑体" w:eastAsia="黑体" w:cs="黑体"/>
          <w:color w:val="auto"/>
        </w:rPr>
        <w:t>、</w:t>
      </w:r>
      <w:r>
        <w:rPr>
          <w:rFonts w:hint="eastAsia" w:ascii="黑体" w:hAnsi="黑体" w:eastAsia="黑体" w:cs="黑体"/>
          <w:color w:val="auto"/>
          <w:lang w:eastAsia="zh-CN"/>
        </w:rPr>
        <w:t>“</w:t>
      </w:r>
      <w:r>
        <w:rPr>
          <w:rFonts w:hint="eastAsia" w:ascii="黑体" w:hAnsi="黑体" w:eastAsia="黑体" w:cs="黑体"/>
          <w:color w:val="auto"/>
          <w:lang w:val="en-US" w:eastAsia="zh-CN"/>
        </w:rPr>
        <w:t>十四五</w:t>
      </w:r>
      <w:r>
        <w:rPr>
          <w:rFonts w:hint="eastAsia" w:ascii="黑体" w:hAnsi="黑体" w:eastAsia="黑体" w:cs="黑体"/>
          <w:color w:val="auto"/>
          <w:lang w:eastAsia="zh-CN"/>
        </w:rPr>
        <w:t>”</w:t>
      </w:r>
      <w:r>
        <w:rPr>
          <w:rFonts w:hint="eastAsia" w:ascii="黑体" w:hAnsi="黑体" w:eastAsia="黑体" w:cs="黑体"/>
          <w:color w:val="auto"/>
          <w:lang w:val="en-US" w:eastAsia="zh-CN"/>
        </w:rPr>
        <w:t>后期实施</w:t>
      </w:r>
      <w:r>
        <w:rPr>
          <w:rFonts w:hint="eastAsia" w:ascii="黑体" w:hAnsi="黑体" w:eastAsia="黑体" w:cs="黑体"/>
          <w:color w:val="auto"/>
        </w:rPr>
        <w:t>建议</w:t>
      </w:r>
      <w:bookmarkEnd w:id="98"/>
      <w:bookmarkEnd w:id="99"/>
      <w:bookmarkEnd w:id="100"/>
      <w:bookmarkEnd w:id="101"/>
      <w:bookmarkEnd w:id="102"/>
      <w:bookmarkEnd w:id="103"/>
      <w:bookmarkEnd w:id="104"/>
      <w:bookmarkEnd w:id="105"/>
    </w:p>
    <w:p w14:paraId="31D20CC0">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以习近平新时代中国特色社会主义思想为指导，全面贯彻落实党的二十大精神，深入贯彻落实习近平总书记关于湖北工作的重要讲话和指示批示精神，坚持稳中求进工作总基调，坚持系统观念、守正创新，完整、准确、全面贯彻新发展理念，着力推动高质量发展，创造高</w:t>
      </w:r>
      <w:r>
        <w:rPr>
          <w:rFonts w:hint="eastAsia" w:ascii="仿宋_GB2312" w:hAnsi="仿宋_GB2312" w:eastAsia="仿宋_GB2312" w:cs="仿宋_GB2312"/>
          <w:color w:val="auto"/>
          <w:lang w:val="en-US" w:eastAsia="zh-CN"/>
        </w:rPr>
        <w:t>品质</w:t>
      </w:r>
      <w:r>
        <w:rPr>
          <w:rFonts w:hint="eastAsia" w:ascii="仿宋_GB2312" w:hAnsi="仿宋_GB2312" w:eastAsia="仿宋_GB2312" w:cs="仿宋_GB2312"/>
          <w:bCs/>
          <w:color w:val="auto"/>
          <w:sz w:val="32"/>
          <w:szCs w:val="32"/>
          <w:highlight w:val="none"/>
          <w:lang w:val="en-US" w:eastAsia="zh-CN"/>
        </w:rPr>
        <w:t>生活，实现高效能治理，更好统筹国内国际两个大局，更好统筹发展和安全，更好统筹市区一体、城乡区域、资源环境，突出做好稳增长、稳就业、防风险，以打造武汉都市圈自然生态公园城市为统领，用好共同缔造理念和方法，推进转方式、调结构、增动能，推动城市和产业集群高质量发展，不断提升咸安区城市集中力吸引力和产业集聚力，努力推动全区经济实现质的有效提升和量的合理增长，加快打造“中国桂花城、华中康养区”，建成“文明城市、城乡统筹、营商环境、人民幸福”四个首善之区，奋力谱写全面建设社会主义现代化的咸安新篇章。</w:t>
      </w:r>
    </w:p>
    <w:p w14:paraId="7F2B62BF">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val="en-US" w:eastAsia="zh-CN"/>
        </w:rPr>
      </w:pPr>
      <w:bookmarkStart w:id="106" w:name="_Toc4934"/>
      <w:bookmarkStart w:id="107" w:name="_Toc21684"/>
      <w:r>
        <w:rPr>
          <w:rFonts w:hint="eastAsia" w:ascii="楷体_GB2312" w:hAnsi="楷体_GB2312" w:eastAsia="楷体_GB2312" w:cs="楷体_GB2312"/>
          <w:color w:val="auto"/>
          <w:lang w:val="en-US" w:eastAsia="zh-CN"/>
        </w:rPr>
        <w:t>（一）促消费扩投资，做强县域经济</w:t>
      </w:r>
      <w:bookmarkEnd w:id="106"/>
      <w:bookmarkEnd w:id="107"/>
    </w:p>
    <w:p w14:paraId="7E7FEBC7">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深入实施扩大内需战略，发挥消费对经济发展的基础性作用，发挥有效投资对稳增长的“压舱顶梁”作用，推动县域经济进入全省“百强储备”。</w:t>
      </w:r>
    </w:p>
    <w:p w14:paraId="544A48AD">
      <w:pPr>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lang w:val="en-US" w:eastAsia="zh-CN"/>
        </w:rPr>
        <w:t>1</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b/>
          <w:color w:val="auto"/>
          <w:sz w:val="32"/>
          <w:szCs w:val="32"/>
          <w:lang w:val="en-US" w:eastAsia="zh-CN"/>
        </w:rPr>
        <w:t xml:space="preserve"> 恢复和</w:t>
      </w:r>
      <w:r>
        <w:rPr>
          <w:rFonts w:hint="eastAsia" w:ascii="仿宋_GB2312" w:hAnsi="仿宋_GB2312" w:eastAsia="仿宋_GB2312" w:cs="仿宋_GB2312"/>
          <w:b/>
          <w:bCs/>
          <w:color w:val="auto"/>
          <w:sz w:val="32"/>
          <w:szCs w:val="32"/>
          <w:lang w:val="en-US" w:eastAsia="zh-CN"/>
        </w:rPr>
        <w:t>扩大</w:t>
      </w:r>
      <w:r>
        <w:rPr>
          <w:rFonts w:hint="eastAsia" w:ascii="仿宋_GB2312" w:hAnsi="仿宋_GB2312" w:eastAsia="仿宋_GB2312" w:cs="仿宋_GB2312"/>
          <w:b/>
          <w:color w:val="auto"/>
          <w:sz w:val="32"/>
          <w:szCs w:val="32"/>
        </w:rPr>
        <w:t>消费</w:t>
      </w:r>
    </w:p>
    <w:p w14:paraId="6AC6AA1A">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恢复扩大大宗消费。</w:t>
      </w:r>
      <w:r>
        <w:rPr>
          <w:rFonts w:hint="eastAsia" w:ascii="仿宋_GB2312" w:hAnsi="仿宋_GB2312" w:eastAsia="仿宋_GB2312" w:cs="仿宋_GB2312"/>
          <w:color w:val="auto"/>
          <w:sz w:val="32"/>
          <w:szCs w:val="32"/>
          <w:lang w:val="en-US" w:eastAsia="zh-CN"/>
        </w:rPr>
        <w:t>全力落实好国家、省、市关于恢复和扩大消费的各项措施，优化汽车购买使用管理，</w:t>
      </w:r>
      <w:r>
        <w:rPr>
          <w:rFonts w:hint="eastAsia" w:ascii="仿宋_GB2312" w:hAnsi="仿宋_GB2312" w:eastAsia="仿宋_GB2312" w:cs="仿宋_GB2312"/>
          <w:b w:val="0"/>
          <w:bCs w:val="0"/>
          <w:color w:val="auto"/>
          <w:sz w:val="32"/>
          <w:szCs w:val="32"/>
          <w:lang w:val="en-US" w:eastAsia="zh-CN"/>
        </w:rPr>
        <w:t>促进汽车更新消费，扩大新能源汽车消费，科学布局、适度超前建设充电基础设施体系，有效满足居民出行充换电需求。增加城市停车位供给，改善人员密集场所和景区停车条件，推进政府机关、企事业单位车位资源共享利用。支持刚性和改善性住房需求，做好保交楼、保稳定工作，扩大保障性租赁住房供给。稳步推进老旧小区改造，支持城镇老旧小区加装电梯等自住住房改造。提升家居家电消费，开展家电以旧换新、家电下乡活动，促进家庭装修消费，提升家居智能化绿色化水平。促进农村消费，推进农产品进城，发展农村电子商务和订单农业，拓宽咸宁桂花、贺胜鸡汤、向阳湖莲子、白水畈萝卜等特色农产品上行通道。</w:t>
      </w:r>
    </w:p>
    <w:p w14:paraId="3318078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丰富文旅消费。</w:t>
      </w:r>
      <w:r>
        <w:rPr>
          <w:rFonts w:hint="eastAsia" w:ascii="仿宋_GB2312" w:hAnsi="仿宋_GB2312" w:eastAsia="仿宋_GB2312" w:cs="仿宋_GB2312"/>
          <w:b w:val="0"/>
          <w:bCs w:val="0"/>
          <w:color w:val="auto"/>
          <w:sz w:val="32"/>
          <w:szCs w:val="32"/>
          <w:lang w:val="en-US" w:eastAsia="zh-CN"/>
        </w:rPr>
        <w:t>统筹山水湖库及特色文化资源，全域开发主题旅游产品，将咸安打造成为武汉都市圈的花园、田园、乐园。开展“植桂添香”行动，打造“桂花群落”“桂花带”“桂花院”以及“桂花小公园”等特色景点节点，形成桂乡大道-银泉大道-马柏大道-百里桂花长廊。推进向阳湖国家湿地公园、“一河两岸”、尧咀渔乐湾等河湖湿地项目，将咸安水资源优势转化为旅游优势。推进环大幕山中医药材基地、汀泗桥镇茶公园、高桥乡村客厅、白水畈田园综合体等项目，打造乡村旅游示范线路。加快星星竹海旅游景区、白云山森林康养基地建设步伐，打造森林旅游网红景点。推进131军旅小镇、汀泗桥文化旅游综合区等项目，弘扬咸安特色文化。</w:t>
      </w:r>
      <w:r>
        <w:rPr>
          <w:rFonts w:hint="eastAsia" w:ascii="仿宋_GB2312" w:hAnsi="仿宋_GB2312" w:eastAsia="仿宋_GB2312" w:cs="仿宋_GB2312"/>
          <w:b w:val="0"/>
          <w:bCs w:val="0"/>
          <w:color w:val="auto"/>
          <w:kern w:val="0"/>
          <w:sz w:val="32"/>
          <w:szCs w:val="32"/>
          <w:lang w:val="en-US" w:eastAsia="zh-CN" w:bidi="ar"/>
        </w:rPr>
        <w:t>塑造智慧文旅新场景，</w:t>
      </w:r>
      <w:r>
        <w:rPr>
          <w:rFonts w:hint="eastAsia" w:ascii="仿宋_GB2312" w:hAnsi="仿宋_GB2312" w:eastAsia="仿宋_GB2312" w:cs="仿宋_GB2312"/>
          <w:color w:val="auto"/>
          <w:kern w:val="0"/>
          <w:sz w:val="32"/>
          <w:szCs w:val="32"/>
          <w:lang w:val="en-US" w:eastAsia="zh-CN" w:bidi="ar"/>
        </w:rPr>
        <w:t>对接“一机游湖北”移动智能旅游平台，为旅游企业、旅游从业人员、游客等提供一站式解决方案。</w:t>
      </w:r>
    </w:p>
    <w:p w14:paraId="212A81F6">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提升大健康服务消费。</w:t>
      </w:r>
      <w:r>
        <w:rPr>
          <w:rFonts w:hint="eastAsia" w:ascii="仿宋_GB2312" w:hAnsi="仿宋_GB2312" w:eastAsia="仿宋_GB2312" w:cs="仿宋_GB2312"/>
          <w:b/>
          <w:bCs/>
          <w:color w:val="auto"/>
          <w:sz w:val="32"/>
          <w:szCs w:val="32"/>
          <w:lang w:eastAsia="zh-CN"/>
        </w:rPr>
        <w:t>拓展多层次养老服务，</w:t>
      </w:r>
      <w:r>
        <w:rPr>
          <w:rFonts w:hint="eastAsia" w:ascii="仿宋_GB2312" w:hAnsi="仿宋_GB2312" w:eastAsia="仿宋_GB2312" w:cs="仿宋_GB2312"/>
          <w:color w:val="auto"/>
          <w:sz w:val="32"/>
          <w:szCs w:val="32"/>
        </w:rPr>
        <w:t>突出医养结合亮点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结合咸安区</w:t>
      </w:r>
      <w:r>
        <w:rPr>
          <w:rFonts w:hint="eastAsia" w:ascii="仿宋_GB2312" w:hAnsi="仿宋_GB2312" w:eastAsia="仿宋_GB2312" w:cs="仿宋_GB2312"/>
          <w:color w:val="auto"/>
          <w:sz w:val="32"/>
          <w:szCs w:val="32"/>
          <w:lang w:eastAsia="zh-CN"/>
        </w:rPr>
        <w:t>风湿病、结石</w:t>
      </w:r>
      <w:r>
        <w:rPr>
          <w:rFonts w:hint="eastAsia" w:ascii="仿宋_GB2312" w:hAnsi="仿宋_GB2312" w:eastAsia="仿宋_GB2312" w:cs="仿宋_GB2312"/>
          <w:color w:val="auto"/>
          <w:sz w:val="32"/>
          <w:szCs w:val="32"/>
          <w:lang w:val="en-US" w:eastAsia="zh-CN"/>
        </w:rPr>
        <w:t>病</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优势</w:t>
      </w:r>
      <w:r>
        <w:rPr>
          <w:rFonts w:hint="eastAsia" w:ascii="仿宋_GB2312" w:hAnsi="仿宋_GB2312" w:eastAsia="仿宋_GB2312" w:cs="仿宋_GB2312"/>
          <w:color w:val="auto"/>
          <w:sz w:val="32"/>
          <w:szCs w:val="32"/>
          <w:lang w:val="en-US" w:eastAsia="zh-CN"/>
        </w:rPr>
        <w:t>医疗</w:t>
      </w:r>
      <w:r>
        <w:rPr>
          <w:rFonts w:hint="eastAsia" w:ascii="仿宋_GB2312" w:hAnsi="仿宋_GB2312" w:eastAsia="仿宋_GB2312" w:cs="仿宋_GB2312"/>
          <w:color w:val="auto"/>
          <w:sz w:val="32"/>
          <w:szCs w:val="32"/>
        </w:rPr>
        <w:t>专科</w:t>
      </w:r>
      <w:r>
        <w:rPr>
          <w:rFonts w:hint="eastAsia" w:ascii="仿宋_GB2312" w:hAnsi="仿宋_GB2312" w:eastAsia="仿宋_GB2312" w:cs="仿宋_GB2312"/>
          <w:color w:val="auto"/>
          <w:sz w:val="32"/>
          <w:szCs w:val="32"/>
          <w:lang w:val="en-US" w:eastAsia="zh-CN"/>
        </w:rPr>
        <w:t>以及优质护理资源，在保障兜底型、普惠型养老服务基础上，以梓山湖大健康产业示范区为主，发展市场化、高端化养老服务，拓展智慧养老、互助养老、跨地养老等模式，打造武汉市民最佳养老地，力争吸引10万武汉老人候鸟式旅居养老。</w:t>
      </w:r>
      <w:r>
        <w:rPr>
          <w:rFonts w:hint="eastAsia" w:ascii="仿宋_GB2312" w:hAnsi="仿宋_GB2312" w:eastAsia="仿宋_GB2312" w:cs="仿宋_GB2312"/>
          <w:b/>
          <w:bCs/>
          <w:color w:val="auto"/>
          <w:sz w:val="32"/>
          <w:szCs w:val="32"/>
          <w:lang w:val="en-US" w:eastAsia="zh-CN"/>
        </w:rPr>
        <w:t>重振温泉康养名片，</w:t>
      </w:r>
      <w:r>
        <w:rPr>
          <w:rFonts w:hint="eastAsia" w:ascii="仿宋_GB2312" w:hAnsi="仿宋_GB2312" w:eastAsia="仿宋_GB2312" w:cs="仿宋_GB2312"/>
          <w:b w:val="0"/>
          <w:bCs w:val="0"/>
          <w:color w:val="auto"/>
          <w:szCs w:val="32"/>
        </w:rPr>
        <w:t>整合中心城区温泉旅游资源，盘活太乙温泉、叠水湾温泉等康养项目，引导温泉企业提档硬件，打造环潜山森林温泉度假区</w:t>
      </w:r>
      <w:r>
        <w:rPr>
          <w:rFonts w:hint="eastAsia" w:ascii="仿宋_GB2312" w:hAnsi="仿宋_GB2312" w:eastAsia="仿宋_GB2312" w:cs="仿宋_GB2312"/>
          <w:b w:val="0"/>
          <w:bCs w:val="0"/>
          <w:color w:val="auto"/>
          <w:szCs w:val="32"/>
          <w:lang w:eastAsia="zh-CN"/>
        </w:rPr>
        <w:t>；</w:t>
      </w:r>
      <w:r>
        <w:rPr>
          <w:rFonts w:hint="eastAsia" w:ascii="仿宋_GB2312" w:hAnsi="仿宋_GB2312" w:eastAsia="仿宋_GB2312" w:cs="仿宋_GB2312"/>
          <w:b w:val="0"/>
          <w:bCs w:val="0"/>
          <w:color w:val="auto"/>
          <w:szCs w:val="32"/>
        </w:rPr>
        <w:t>打响温泉医养功能，提供辅助治疗银屑病、辅助运动康复理疗等温泉医养产品</w:t>
      </w:r>
      <w:r>
        <w:rPr>
          <w:rFonts w:hint="eastAsia" w:ascii="仿宋_GB2312" w:hAnsi="仿宋_GB2312" w:eastAsia="仿宋_GB2312" w:cs="仿宋_GB2312"/>
          <w:b w:val="0"/>
          <w:bCs w:val="0"/>
          <w:color w:val="auto"/>
          <w:szCs w:val="32"/>
          <w:lang w:eastAsia="zh-CN"/>
        </w:rPr>
        <w:t>；</w:t>
      </w:r>
      <w:r>
        <w:rPr>
          <w:rFonts w:hint="eastAsia" w:ascii="仿宋_GB2312" w:hAnsi="仿宋_GB2312" w:eastAsia="仿宋_GB2312" w:cs="仿宋_GB2312"/>
          <w:b w:val="0"/>
          <w:bCs w:val="0"/>
          <w:color w:val="auto"/>
          <w:szCs w:val="32"/>
        </w:rPr>
        <w:t>创新温泉产品业态，将温泉与养老养生、康复理疗、美容美体、休闲度假、商务会议等需求结合，开发适合四季、全年龄段的“温泉+”康养产品。</w:t>
      </w:r>
      <w:r>
        <w:rPr>
          <w:rFonts w:hint="eastAsia" w:ascii="仿宋_GB2312" w:hAnsi="仿宋_GB2312" w:eastAsia="仿宋_GB2312" w:cs="仿宋_GB2312"/>
          <w:b/>
          <w:bCs/>
          <w:color w:val="auto"/>
          <w:sz w:val="32"/>
          <w:szCs w:val="32"/>
          <w:lang w:val="en-US" w:eastAsia="zh-CN"/>
        </w:rPr>
        <w:t>打造桂花芳香康养之城，</w:t>
      </w:r>
      <w:r>
        <w:rPr>
          <w:rFonts w:hint="eastAsia" w:ascii="仿宋_GB2312" w:hAnsi="仿宋_GB2312" w:eastAsia="仿宋_GB2312" w:cs="仿宋_GB2312"/>
          <w:b w:val="0"/>
          <w:bCs w:val="0"/>
          <w:color w:val="auto"/>
          <w:sz w:val="32"/>
          <w:szCs w:val="32"/>
          <w:lang w:val="en-US" w:eastAsia="zh-CN"/>
        </w:rPr>
        <w:t>塑造桂花特色城市形象，结合温泉、推拿、药浴、足浴、熏蒸、敷贴等理疗方式，开发芳香疗养、芳香宁神、芳香美容美体等芳香康养服务，到2025年，打造1-2条知名芳香康养旅游路线。</w:t>
      </w:r>
      <w:r>
        <w:rPr>
          <w:rFonts w:hint="eastAsia" w:ascii="仿宋_GB2312" w:hAnsi="仿宋_GB2312" w:eastAsia="仿宋_GB2312" w:cs="仿宋_GB2312"/>
          <w:color w:val="auto"/>
          <w:sz w:val="32"/>
          <w:szCs w:val="32"/>
          <w:lang w:val="en-US" w:eastAsia="zh-CN"/>
        </w:rPr>
        <w:t>发挥武咸同城、</w:t>
      </w:r>
      <w:r>
        <w:rPr>
          <w:rFonts w:hint="eastAsia" w:ascii="仿宋_GB2312" w:hAnsi="仿宋_GB2312" w:eastAsia="仿宋_GB2312" w:cs="仿宋_GB2312"/>
          <w:color w:val="auto"/>
          <w:sz w:val="32"/>
          <w:szCs w:val="32"/>
        </w:rPr>
        <w:t>市区一体优势，形成“工作在武汉、康养在咸宁”</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区域产业分工格局</w:t>
      </w:r>
      <w:r>
        <w:rPr>
          <w:rFonts w:hint="eastAsia" w:ascii="仿宋_GB2312" w:hAnsi="仿宋_GB2312" w:eastAsia="仿宋_GB2312" w:cs="仿宋_GB2312"/>
          <w:color w:val="auto"/>
          <w:sz w:val="32"/>
          <w:szCs w:val="32"/>
          <w:lang w:eastAsia="zh-CN"/>
        </w:rPr>
        <w:t>，实现公园城市建设与大健康产业发展相辅相成，久久为功擦亮“中国桂花城 华中康养区”城市名片。</w:t>
      </w:r>
    </w:p>
    <w:p w14:paraId="0D32869B">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扩大餐饮服务消费。</w:t>
      </w:r>
      <w:r>
        <w:rPr>
          <w:rFonts w:hint="eastAsia" w:ascii="仿宋_GB2312" w:hAnsi="仿宋_GB2312" w:eastAsia="仿宋_GB2312" w:cs="仿宋_GB2312"/>
          <w:color w:val="auto"/>
          <w:sz w:val="32"/>
          <w:szCs w:val="32"/>
          <w:lang w:val="en-US" w:eastAsia="zh-CN"/>
        </w:rPr>
        <w:t>发展特色餐饮，加强楚菜人才队伍建设，开展“楚大厨”培训，组织本地厨师参加“楚大厨”争霸赛。发展夜间经济，持续推动海德公馆“双省级商业街区”提档升级，举办系列促消费活动，集聚人气，提振消费信心，带动周边消费业态共同繁荣。</w:t>
      </w:r>
      <w:r>
        <w:rPr>
          <w:rFonts w:hint="eastAsia" w:ascii="仿宋_GB2312" w:hAnsi="仿宋_GB2312" w:eastAsia="仿宋_GB2312" w:cs="仿宋_GB2312"/>
          <w:b w:val="0"/>
          <w:bCs w:val="0"/>
          <w:color w:val="auto"/>
          <w:sz w:val="32"/>
          <w:szCs w:val="32"/>
          <w:lang w:val="en-US" w:eastAsia="zh-CN"/>
        </w:rPr>
        <w:t>发挥高桥萝卜小镇、贺胜桥</w:t>
      </w:r>
      <w:r>
        <w:rPr>
          <w:rFonts w:hint="eastAsia" w:ascii="仿宋_GB2312" w:hAnsi="仿宋_GB2312" w:eastAsia="仿宋_GB2312" w:cs="仿宋_GB2312"/>
          <w:color w:val="auto"/>
          <w:lang w:val="en-US" w:eastAsia="zh-CN"/>
        </w:rPr>
        <w:t>鸡汤</w:t>
      </w:r>
      <w:r>
        <w:rPr>
          <w:rFonts w:hint="eastAsia" w:ascii="仿宋_GB2312" w:hAnsi="仿宋_GB2312" w:eastAsia="仿宋_GB2312" w:cs="仿宋_GB2312"/>
          <w:b w:val="0"/>
          <w:bCs w:val="0"/>
          <w:color w:val="auto"/>
          <w:sz w:val="32"/>
          <w:szCs w:val="32"/>
          <w:lang w:val="en-US" w:eastAsia="zh-CN"/>
        </w:rPr>
        <w:t>小镇等特色小镇优势，培育“种养殖基地+中央厨房+冷链物流+餐饮门店”模式。建设咸安区生鲜净菜加工配送园</w:t>
      </w:r>
      <w:r>
        <w:rPr>
          <w:rFonts w:hint="eastAsia" w:ascii="仿宋_GB2312" w:hAnsi="仿宋_GB2312" w:eastAsia="仿宋_GB2312" w:cs="仿宋_GB2312"/>
          <w:color w:val="auto"/>
          <w:sz w:val="32"/>
          <w:szCs w:val="32"/>
          <w:lang w:val="en-US" w:eastAsia="zh-CN"/>
        </w:rPr>
        <w:t>，打造预制菜仓库物流基地，提升餐饮质量和配送标准化水平。</w:t>
      </w:r>
    </w:p>
    <w:p w14:paraId="22A5EEC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促进文娱体育会展消费。</w:t>
      </w:r>
      <w:r>
        <w:rPr>
          <w:rFonts w:hint="eastAsia" w:ascii="仿宋_GB2312" w:hAnsi="仿宋_GB2312" w:eastAsia="仿宋_GB2312" w:cs="仿宋_GB2312"/>
          <w:b w:val="0"/>
          <w:bCs w:val="0"/>
          <w:color w:val="auto"/>
          <w:sz w:val="32"/>
          <w:szCs w:val="32"/>
          <w:lang w:val="en-US" w:eastAsia="zh-CN"/>
        </w:rPr>
        <w:t>完善城乡体育场地设施，加快推动咸安区文体中心（二期）项目建设，完善健康步道、骑行道等普惠性运动场所，发展社区多功能运动场，形成淦河城区段滨水绿色旅游健身带。</w:t>
      </w:r>
      <w:r>
        <w:rPr>
          <w:rFonts w:hint="eastAsia" w:ascii="仿宋_GB2312" w:hAnsi="仿宋_GB2312" w:eastAsia="仿宋_GB2312" w:cs="仿宋_GB2312"/>
          <w:color w:val="auto"/>
          <w:szCs w:val="32"/>
        </w:rPr>
        <w:t>提升咸安区8.8全民健身日、社区运动会、农民运动会等系列体育活动，形成“群众天天有锻炼、社区月月有活动、项目年年有赛事”的全民健身格局。</w:t>
      </w:r>
      <w:r>
        <w:rPr>
          <w:rFonts w:hint="eastAsia" w:ascii="仿宋_GB2312" w:hAnsi="仿宋_GB2312" w:eastAsia="仿宋_GB2312" w:cs="仿宋_GB2312"/>
          <w:color w:val="auto"/>
          <w:szCs w:val="32"/>
          <w:lang w:eastAsia="zh-CN"/>
        </w:rPr>
        <w:t>定期</w:t>
      </w:r>
      <w:r>
        <w:rPr>
          <w:rFonts w:hint="eastAsia" w:ascii="仿宋_GB2312" w:hAnsi="仿宋_GB2312" w:eastAsia="仿宋_GB2312" w:cs="仿宋_GB2312"/>
          <w:color w:val="auto"/>
          <w:szCs w:val="32"/>
        </w:rPr>
        <w:t>举办门球运动、老年健身运动会</w:t>
      </w:r>
      <w:r>
        <w:rPr>
          <w:rFonts w:hint="eastAsia" w:ascii="仿宋_GB2312" w:hAnsi="仿宋_GB2312" w:eastAsia="仿宋_GB2312" w:cs="仿宋_GB2312"/>
          <w:color w:val="auto"/>
          <w:szCs w:val="32"/>
          <w:lang w:eastAsia="zh-CN"/>
        </w:rPr>
        <w:t>、冰雪运动</w:t>
      </w:r>
      <w:r>
        <w:rPr>
          <w:rFonts w:hint="eastAsia" w:ascii="仿宋_GB2312" w:hAnsi="仿宋_GB2312" w:eastAsia="仿宋_GB2312" w:cs="仿宋_GB2312"/>
          <w:color w:val="auto"/>
          <w:szCs w:val="32"/>
        </w:rPr>
        <w:t>等赛事，积极申办全国老年人围棋体育赛事，力争每年举办或承接市级及以上体育健身赛事或活动不少于5项，借助网络直播等方式，打造知名运动赛事IP</w:t>
      </w:r>
      <w:r>
        <w:rPr>
          <w:rFonts w:hint="eastAsia" w:ascii="仿宋_GB2312" w:hAnsi="仿宋_GB2312" w:eastAsia="仿宋_GB2312" w:cs="仿宋_GB2312"/>
          <w:b w:val="0"/>
          <w:bCs w:val="0"/>
          <w:color w:val="auto"/>
          <w:sz w:val="32"/>
          <w:szCs w:val="32"/>
          <w:lang w:val="en-US" w:eastAsia="zh-CN"/>
        </w:rPr>
        <w:t>。</w:t>
      </w:r>
    </w:p>
    <w:p w14:paraId="28E2D0D1">
      <w:pPr>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en-US" w:eastAsia="zh-CN"/>
        </w:rPr>
        <w:t>2</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color w:val="auto"/>
          <w:sz w:val="32"/>
          <w:szCs w:val="32"/>
          <w:lang w:val="en-US" w:eastAsia="zh-CN"/>
        </w:rPr>
        <w:t>积极扩大有效投资</w:t>
      </w:r>
    </w:p>
    <w:p w14:paraId="6028903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加强重大项目支撑。持续加强传统基础设施投资，</w:t>
      </w:r>
      <w:r>
        <w:rPr>
          <w:rFonts w:hint="eastAsia" w:ascii="仿宋_GB2312" w:hAnsi="仿宋_GB2312" w:eastAsia="仿宋_GB2312" w:cs="仿宋_GB2312"/>
          <w:b w:val="0"/>
          <w:bCs w:val="0"/>
          <w:color w:val="auto"/>
          <w:sz w:val="32"/>
          <w:szCs w:val="32"/>
          <w:lang w:val="en-US" w:eastAsia="zh-CN"/>
        </w:rPr>
        <w:t>完善“三横六纵一环”公路网络，加快启动南外环高速公路、全域公交项目建设。建好“四好农村路”和咸安风景道。推进S356横沟至黄沙铺改扩建二期，G351双溪至横沟段改扩建项目，确保G107国道咸安绕城段、S361星星竹海至大竹山段公路建成通车。完善客货运枢纽体系，谋划建设湖北安欣多式联运物流中心、城乡配送中心。完善物流设施体系</w:t>
      </w:r>
      <w:r>
        <w:rPr>
          <w:rFonts w:hint="eastAsia" w:ascii="仿宋_GB2312" w:hAnsi="仿宋_GB2312" w:eastAsia="仿宋_GB2312" w:cs="仿宋_GB2312"/>
          <w:b w:val="0"/>
          <w:bCs w:val="0"/>
          <w:color w:val="auto"/>
          <w:kern w:val="0"/>
          <w:sz w:val="32"/>
          <w:szCs w:val="32"/>
          <w:lang w:val="en-US" w:eastAsia="zh-CN" w:bidi="ar"/>
        </w:rPr>
        <w:t>，建设咸宁公路港物流园、</w:t>
      </w:r>
      <w:r>
        <w:rPr>
          <w:rFonts w:hint="eastAsia" w:ascii="仿宋_GB2312" w:hAnsi="仿宋_GB2312" w:eastAsia="仿宋_GB2312" w:cs="仿宋_GB2312"/>
          <w:b w:val="0"/>
          <w:bCs w:val="0"/>
          <w:color w:val="auto"/>
          <w:sz w:val="32"/>
          <w:szCs w:val="32"/>
          <w:lang w:val="en-US" w:eastAsia="zh-CN"/>
        </w:rPr>
        <w:t>京港物流仓储配送中心等物流园区</w:t>
      </w:r>
      <w:r>
        <w:rPr>
          <w:rFonts w:hint="eastAsia" w:ascii="仿宋_GB2312" w:hAnsi="仿宋_GB2312" w:eastAsia="仿宋_GB2312" w:cs="仿宋_GB2312"/>
          <w:b w:val="0"/>
          <w:bCs w:val="0"/>
          <w:color w:val="auto"/>
          <w:kern w:val="0"/>
          <w:sz w:val="32"/>
          <w:szCs w:val="32"/>
          <w:lang w:val="en-US" w:eastAsia="zh-CN" w:bidi="ar"/>
        </w:rPr>
        <w:t>。</w:t>
      </w:r>
      <w:r>
        <w:rPr>
          <w:rFonts w:hint="eastAsia" w:ascii="仿宋_GB2312" w:hAnsi="仿宋_GB2312" w:eastAsia="仿宋_GB2312" w:cs="仿宋_GB2312"/>
          <w:b/>
          <w:bCs/>
          <w:color w:val="auto"/>
          <w:kern w:val="0"/>
          <w:sz w:val="32"/>
          <w:szCs w:val="32"/>
          <w:lang w:val="en-US" w:eastAsia="zh-CN" w:bidi="ar"/>
        </w:rPr>
        <w:t>加快新型基础设施投资，</w:t>
      </w:r>
      <w:r>
        <w:rPr>
          <w:rFonts w:hint="eastAsia" w:ascii="仿宋_GB2312" w:hAnsi="仿宋_GB2312" w:eastAsia="仿宋_GB2312" w:cs="仿宋_GB2312"/>
          <w:b w:val="0"/>
          <w:bCs w:val="0"/>
          <w:color w:val="auto"/>
          <w:kern w:val="0"/>
          <w:sz w:val="32"/>
          <w:szCs w:val="32"/>
          <w:lang w:val="en-US" w:eastAsia="zh-CN" w:bidi="ar"/>
        </w:rPr>
        <w:t>推动5G基站建设和骨干网络扩容升级，实现城乡5G信号全覆盖。推进“智慧咸安”和“咸安微家园”建设，加快鄂东南云超算中心建设。建设咸安区数字孪生流域，开展淦河流域试点，实现洪水监控、水利工程巡查与调度控制、洪水模拟推演与</w:t>
      </w:r>
      <w:r>
        <w:rPr>
          <w:rFonts w:hint="eastAsia" w:ascii="仿宋_GB2312" w:hAnsi="仿宋_GB2312" w:eastAsia="仿宋_GB2312" w:cs="仿宋_GB2312"/>
          <w:color w:val="auto"/>
          <w:kern w:val="0"/>
          <w:sz w:val="32"/>
          <w:szCs w:val="32"/>
          <w:lang w:val="en-US" w:eastAsia="zh-CN" w:bidi="ar"/>
        </w:rPr>
        <w:t>决策等功能融合。</w:t>
      </w:r>
      <w:r>
        <w:rPr>
          <w:rFonts w:hint="eastAsia" w:ascii="仿宋_GB2312" w:hAnsi="仿宋_GB2312" w:eastAsia="仿宋_GB2312" w:cs="仿宋_GB2312"/>
          <w:b/>
          <w:bCs/>
          <w:color w:val="auto"/>
          <w:kern w:val="0"/>
          <w:sz w:val="32"/>
          <w:szCs w:val="32"/>
          <w:lang w:val="en-US" w:eastAsia="zh-CN" w:bidi="ar"/>
        </w:rPr>
        <w:t>加快重大项目储备，</w:t>
      </w:r>
      <w:r>
        <w:rPr>
          <w:rFonts w:hint="eastAsia" w:ascii="仿宋_GB2312" w:hAnsi="仿宋_GB2312" w:eastAsia="仿宋_GB2312" w:cs="仿宋_GB2312"/>
          <w:b w:val="0"/>
          <w:bCs/>
          <w:color w:val="auto"/>
          <w:sz w:val="32"/>
          <w:szCs w:val="32"/>
          <w:lang w:val="en-US" w:eastAsia="zh-CN"/>
        </w:rPr>
        <w:t>紧盯国家、省政策资金投向，加强项目策划、储备、申报，力争更多项目纳入国家、省市项目库。</w:t>
      </w:r>
    </w:p>
    <w:p w14:paraId="471E12E0">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color w:val="auto"/>
          <w:sz w:val="32"/>
          <w:szCs w:val="32"/>
          <w:lang w:val="en-US" w:eastAsia="zh-CN"/>
        </w:rPr>
        <w:t>强化要素资源保障。</w:t>
      </w:r>
      <w:r>
        <w:rPr>
          <w:rFonts w:hint="eastAsia" w:ascii="仿宋_GB2312" w:hAnsi="仿宋_GB2312" w:eastAsia="仿宋_GB2312" w:cs="仿宋_GB2312"/>
          <w:b w:val="0"/>
          <w:bCs/>
          <w:color w:val="auto"/>
          <w:sz w:val="32"/>
          <w:szCs w:val="32"/>
          <w:lang w:val="en-US" w:eastAsia="zh-CN"/>
        </w:rPr>
        <w:t>积极争取中央、省预算内投资、政策性开发性金融工具等资金，统筹安排财政性建设资金，提振民间投资信心，支持符合条件的项目建设。优化投资审批服务，建立联审机制，推行“标准地+承诺制”模式，全面规范行政审批涉及的技术审查、论证、评估等中介服务事项，缩短全流程审批时间。强化土地、资金、用能、用工等要素保障，</w:t>
      </w:r>
      <w:r>
        <w:rPr>
          <w:rFonts w:hint="eastAsia" w:ascii="仿宋_GB2312" w:hAnsi="仿宋_GB2312" w:eastAsia="仿宋_GB2312" w:cs="仿宋_GB2312"/>
          <w:i w:val="0"/>
          <w:iCs w:val="0"/>
          <w:caps w:val="0"/>
          <w:color w:val="auto"/>
          <w:spacing w:val="0"/>
          <w:sz w:val="32"/>
          <w:szCs w:val="32"/>
          <w:shd w:val="clear" w:fill="FFFFFF"/>
          <w:lang w:eastAsia="zh-CN"/>
        </w:rPr>
        <w:t>推广宗地全生命周期闭环管理、</w:t>
      </w:r>
      <w:r>
        <w:rPr>
          <w:rStyle w:val="21"/>
          <w:rFonts w:hint="eastAsia" w:ascii="仿宋_GB2312" w:hAnsi="仿宋_GB2312" w:eastAsia="仿宋_GB2312" w:cs="仿宋_GB2312"/>
          <w:b w:val="0"/>
          <w:bCs w:val="0"/>
          <w:i w:val="0"/>
          <w:iCs w:val="0"/>
          <w:caps w:val="0"/>
          <w:color w:val="auto"/>
          <w:spacing w:val="0"/>
          <w:sz w:val="32"/>
          <w:szCs w:val="32"/>
          <w:shd w:val="clear" w:fill="FFFFFF"/>
        </w:rPr>
        <w:t>“共享用工”</w:t>
      </w:r>
      <w:r>
        <w:rPr>
          <w:rStyle w:val="21"/>
          <w:rFonts w:hint="eastAsia" w:ascii="仿宋_GB2312" w:hAnsi="仿宋_GB2312" w:eastAsia="仿宋_GB2312" w:cs="仿宋_GB2312"/>
          <w:b w:val="0"/>
          <w:bCs w:val="0"/>
          <w:i w:val="0"/>
          <w:iCs w:val="0"/>
          <w:caps w:val="0"/>
          <w:color w:val="auto"/>
          <w:spacing w:val="0"/>
          <w:sz w:val="32"/>
          <w:szCs w:val="32"/>
          <w:shd w:val="clear" w:fill="FFFFFF"/>
          <w:lang w:val="en-US" w:eastAsia="zh-CN"/>
        </w:rPr>
        <w:t>机制，</w:t>
      </w:r>
      <w:r>
        <w:rPr>
          <w:rFonts w:hint="eastAsia" w:ascii="仿宋_GB2312" w:hAnsi="仿宋_GB2312" w:eastAsia="仿宋_GB2312" w:cs="仿宋_GB2312"/>
          <w:b w:val="0"/>
          <w:bCs/>
          <w:color w:val="auto"/>
          <w:sz w:val="32"/>
          <w:szCs w:val="32"/>
          <w:lang w:val="en-US" w:eastAsia="zh-CN"/>
        </w:rPr>
        <w:t>加快推进在建项目建成、投产、达效。</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766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2DBC33D">
            <w:pPr>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default" w:ascii="Times New Roman" w:hAnsi="Times New Roman" w:eastAsia="仿宋_GB2312" w:cs="Times New Roman"/>
                <w:b w:val="0"/>
                <w:bCs/>
                <w:color w:val="auto"/>
                <w:sz w:val="32"/>
                <w:szCs w:val="32"/>
                <w:vertAlign w:val="baseline"/>
                <w:lang w:val="en-US" w:eastAsia="zh-CN"/>
              </w:rPr>
            </w:pPr>
            <w:r>
              <w:rPr>
                <w:rFonts w:hint="default" w:ascii="Times New Roman" w:hAnsi="Times New Roman" w:eastAsia="楷体_GB2312" w:cs="Times New Roman"/>
                <w:b/>
                <w:bCs w:val="0"/>
                <w:color w:val="auto"/>
                <w:sz w:val="32"/>
                <w:szCs w:val="32"/>
                <w:vertAlign w:val="baseline"/>
                <w:lang w:val="en-US" w:eastAsia="zh-CN"/>
              </w:rPr>
              <w:t xml:space="preserve">专栏1  </w:t>
            </w:r>
            <w:r>
              <w:rPr>
                <w:rFonts w:hint="eastAsia" w:ascii="Times New Roman" w:hAnsi="Times New Roman" w:eastAsia="楷体_GB2312" w:cs="Times New Roman"/>
                <w:b/>
                <w:bCs w:val="0"/>
                <w:color w:val="auto"/>
                <w:sz w:val="32"/>
                <w:szCs w:val="32"/>
                <w:vertAlign w:val="baseline"/>
                <w:lang w:val="en-US" w:eastAsia="zh-CN"/>
              </w:rPr>
              <w:t>促消费</w:t>
            </w:r>
            <w:r>
              <w:rPr>
                <w:rFonts w:hint="default" w:ascii="Times New Roman" w:hAnsi="Times New Roman" w:eastAsia="楷体_GB2312" w:cs="Times New Roman"/>
                <w:b/>
                <w:bCs w:val="0"/>
                <w:color w:val="auto"/>
                <w:sz w:val="32"/>
                <w:szCs w:val="32"/>
                <w:vertAlign w:val="baseline"/>
                <w:lang w:val="en-US" w:eastAsia="zh-CN"/>
              </w:rPr>
              <w:t>扩投资重大项目</w:t>
            </w:r>
          </w:p>
        </w:tc>
      </w:tr>
      <w:tr w14:paraId="7F1A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440FA62">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恢复和扩大消费项目。</w:t>
            </w:r>
            <w:r>
              <w:rPr>
                <w:rFonts w:hint="default" w:ascii="Times New Roman" w:hAnsi="Times New Roman" w:eastAsia="仿宋_GB2312" w:cs="Times New Roman"/>
                <w:b w:val="0"/>
                <w:bCs w:val="0"/>
                <w:color w:val="auto"/>
                <w:kern w:val="0"/>
                <w:sz w:val="30"/>
                <w:szCs w:val="30"/>
                <w:lang w:val="en-US" w:eastAsia="zh-CN" w:bidi="ar"/>
              </w:rPr>
              <w:t>海德公馆“双省级商业街区”升级改造项目、火凤凰军旅文化体验园建设项目、梓山湖江南里养生养老项目、梓山湖新城文旅产业配套设施建设项目、太乙温泉度假区提档升级建设项目、向阳湖中国文创基地建设项目</w:t>
            </w:r>
            <w:r>
              <w:rPr>
                <w:rFonts w:hint="eastAsia" w:ascii="Times New Roman" w:hAnsi="Times New Roman" w:eastAsia="仿宋_GB2312" w:cs="Times New Roman"/>
                <w:b w:val="0"/>
                <w:bCs w:val="0"/>
                <w:color w:val="auto"/>
                <w:kern w:val="0"/>
                <w:sz w:val="30"/>
                <w:szCs w:val="30"/>
                <w:lang w:val="en-US" w:eastAsia="zh-CN" w:bidi="ar"/>
              </w:rPr>
              <w:t>、</w:t>
            </w:r>
            <w:r>
              <w:rPr>
                <w:rFonts w:hint="default" w:ascii="Times New Roman" w:hAnsi="Times New Roman" w:eastAsia="仿宋_GB2312" w:cs="Times New Roman"/>
                <w:b w:val="0"/>
                <w:bCs w:val="0"/>
                <w:color w:val="auto"/>
                <w:kern w:val="0"/>
                <w:sz w:val="30"/>
                <w:szCs w:val="30"/>
                <w:lang w:val="en-US" w:eastAsia="zh-CN" w:bidi="ar"/>
              </w:rPr>
              <w:t>咸安区文体中心（二期）项目</w:t>
            </w:r>
            <w:r>
              <w:rPr>
                <w:rFonts w:hint="eastAsia" w:ascii="Times New Roman" w:hAnsi="Times New Roman" w:eastAsia="仿宋_GB2312" w:cs="Times New Roman"/>
                <w:b w:val="0"/>
                <w:bCs w:val="0"/>
                <w:color w:val="auto"/>
                <w:kern w:val="0"/>
                <w:sz w:val="30"/>
                <w:szCs w:val="30"/>
                <w:lang w:val="en-US" w:eastAsia="zh-CN" w:bidi="ar"/>
              </w:rPr>
              <w:t>。</w:t>
            </w:r>
          </w:p>
          <w:p w14:paraId="6691D61B">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交通</w:t>
            </w:r>
            <w:r>
              <w:rPr>
                <w:rFonts w:hint="eastAsia" w:ascii="Times New Roman" w:hAnsi="Times New Roman" w:eastAsia="仿宋_GB2312" w:cs="Times New Roman"/>
                <w:b/>
                <w:bCs/>
                <w:color w:val="auto"/>
                <w:kern w:val="0"/>
                <w:sz w:val="30"/>
                <w:szCs w:val="30"/>
                <w:lang w:val="en-US" w:eastAsia="zh-CN" w:bidi="ar"/>
              </w:rPr>
              <w:t>投资</w:t>
            </w:r>
            <w:r>
              <w:rPr>
                <w:rFonts w:hint="default" w:ascii="Times New Roman" w:hAnsi="Times New Roman" w:eastAsia="仿宋_GB2312" w:cs="Times New Roman"/>
                <w:b/>
                <w:bCs/>
                <w:color w:val="auto"/>
                <w:kern w:val="0"/>
                <w:sz w:val="30"/>
                <w:szCs w:val="30"/>
                <w:lang w:val="en-US" w:eastAsia="zh-CN" w:bidi="ar"/>
              </w:rPr>
              <w:t>项目。</w:t>
            </w:r>
            <w:r>
              <w:rPr>
                <w:rFonts w:hint="default" w:ascii="Times New Roman" w:hAnsi="Times New Roman" w:eastAsia="仿宋_GB2312" w:cs="Times New Roman"/>
                <w:b w:val="0"/>
                <w:bCs w:val="0"/>
                <w:color w:val="auto"/>
                <w:kern w:val="0"/>
                <w:sz w:val="30"/>
                <w:szCs w:val="30"/>
                <w:lang w:val="en-US" w:eastAsia="zh-CN" w:bidi="ar"/>
              </w:rPr>
              <w:t>G351咸安区双溪至横沟段改扩建工程（一期）、G351咸安区双溪至横沟段改扩建工程（二期）、S356横沟至黄沙铺公路改扩建工程（二期）、咸安区全域公交项目。</w:t>
            </w:r>
          </w:p>
          <w:p w14:paraId="3B312715">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物流</w:t>
            </w:r>
            <w:r>
              <w:rPr>
                <w:rFonts w:hint="eastAsia" w:ascii="Times New Roman" w:hAnsi="Times New Roman" w:eastAsia="仿宋_GB2312" w:cs="Times New Roman"/>
                <w:b/>
                <w:bCs/>
                <w:color w:val="auto"/>
                <w:kern w:val="0"/>
                <w:sz w:val="30"/>
                <w:szCs w:val="30"/>
                <w:lang w:val="en-US" w:eastAsia="zh-CN" w:bidi="ar"/>
              </w:rPr>
              <w:t>投资</w:t>
            </w:r>
            <w:r>
              <w:rPr>
                <w:rFonts w:hint="default" w:ascii="Times New Roman" w:hAnsi="Times New Roman" w:eastAsia="仿宋_GB2312" w:cs="Times New Roman"/>
                <w:b/>
                <w:bCs/>
                <w:color w:val="auto"/>
                <w:kern w:val="0"/>
                <w:sz w:val="30"/>
                <w:szCs w:val="30"/>
                <w:lang w:val="en-US" w:eastAsia="zh-CN" w:bidi="ar"/>
              </w:rPr>
              <w:t>项目</w:t>
            </w:r>
            <w:r>
              <w:rPr>
                <w:rFonts w:hint="default" w:ascii="Times New Roman" w:hAnsi="Times New Roman" w:eastAsia="仿宋_GB2312" w:cs="Times New Roman"/>
                <w:b w:val="0"/>
                <w:bCs w:val="0"/>
                <w:color w:val="auto"/>
                <w:kern w:val="0"/>
                <w:sz w:val="30"/>
                <w:szCs w:val="30"/>
                <w:lang w:val="en-US" w:eastAsia="zh-CN" w:bidi="ar"/>
              </w:rPr>
              <w:t>。湖北安欣多式联运物流中心项目、城乡配送中心项目、咸宁公路港物流园项目、京港物流仓储配送中心项目。</w:t>
            </w:r>
          </w:p>
          <w:p w14:paraId="403C92C7">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color w:val="auto"/>
                <w:sz w:val="32"/>
                <w:szCs w:val="32"/>
                <w:vertAlign w:val="baseline"/>
                <w:lang w:val="en-US" w:eastAsia="zh-CN"/>
              </w:rPr>
            </w:pPr>
            <w:r>
              <w:rPr>
                <w:rFonts w:hint="default" w:ascii="Times New Roman" w:hAnsi="Times New Roman" w:eastAsia="仿宋_GB2312" w:cs="Times New Roman"/>
                <w:b/>
                <w:bCs/>
                <w:color w:val="auto"/>
                <w:kern w:val="0"/>
                <w:sz w:val="30"/>
                <w:szCs w:val="30"/>
                <w:lang w:val="en-US" w:eastAsia="zh-CN" w:bidi="ar"/>
              </w:rPr>
              <w:t>新基建</w:t>
            </w:r>
            <w:r>
              <w:rPr>
                <w:rFonts w:hint="eastAsia" w:ascii="Times New Roman" w:hAnsi="Times New Roman" w:eastAsia="仿宋_GB2312" w:cs="Times New Roman"/>
                <w:b/>
                <w:bCs/>
                <w:color w:val="auto"/>
                <w:kern w:val="0"/>
                <w:sz w:val="30"/>
                <w:szCs w:val="30"/>
                <w:lang w:val="en-US" w:eastAsia="zh-CN" w:bidi="ar"/>
              </w:rPr>
              <w:t>投资</w:t>
            </w:r>
            <w:r>
              <w:rPr>
                <w:rFonts w:hint="default" w:ascii="Times New Roman" w:hAnsi="Times New Roman" w:eastAsia="仿宋_GB2312" w:cs="Times New Roman"/>
                <w:b/>
                <w:bCs/>
                <w:color w:val="auto"/>
                <w:kern w:val="0"/>
                <w:sz w:val="30"/>
                <w:szCs w:val="30"/>
                <w:lang w:val="en-US" w:eastAsia="zh-CN" w:bidi="ar"/>
              </w:rPr>
              <w:t>项目</w:t>
            </w:r>
            <w:r>
              <w:rPr>
                <w:rFonts w:hint="default" w:ascii="Times New Roman" w:hAnsi="Times New Roman" w:eastAsia="仿宋_GB2312" w:cs="Times New Roman"/>
                <w:b w:val="0"/>
                <w:bCs w:val="0"/>
                <w:color w:val="auto"/>
                <w:kern w:val="0"/>
                <w:sz w:val="30"/>
                <w:szCs w:val="30"/>
                <w:lang w:val="en-US" w:eastAsia="zh-CN" w:bidi="ar"/>
              </w:rPr>
              <w:t>。鄂东南云超算中心项目、“智慧咸安”和“咸安微家园”建设项目</w:t>
            </w:r>
            <w:r>
              <w:rPr>
                <w:rFonts w:hint="eastAsia" w:ascii="Times New Roman" w:hAnsi="Times New Roman" w:eastAsia="仿宋_GB2312" w:cs="Times New Roman"/>
                <w:b w:val="0"/>
                <w:bCs w:val="0"/>
                <w:color w:val="auto"/>
                <w:kern w:val="0"/>
                <w:sz w:val="30"/>
                <w:szCs w:val="30"/>
                <w:lang w:val="en-US" w:eastAsia="zh-CN" w:bidi="ar"/>
              </w:rPr>
              <w:t>。</w:t>
            </w:r>
          </w:p>
        </w:tc>
      </w:tr>
    </w:tbl>
    <w:p w14:paraId="5D844B59">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楷体_GB2312" w:hAnsi="楷体_GB2312" w:eastAsia="楷体_GB2312" w:cs="楷体_GB2312"/>
          <w:color w:val="auto"/>
          <w:lang w:val="en-US" w:eastAsia="zh-CN"/>
        </w:rPr>
      </w:pPr>
      <w:bookmarkStart w:id="108" w:name="_Toc27049"/>
      <w:bookmarkStart w:id="109" w:name="_Toc10437"/>
      <w:r>
        <w:rPr>
          <w:rFonts w:hint="default" w:ascii="楷体_GB2312" w:hAnsi="楷体_GB2312" w:eastAsia="楷体_GB2312" w:cs="楷体_GB2312"/>
          <w:color w:val="auto"/>
          <w:lang w:val="en-US" w:eastAsia="zh-CN"/>
        </w:rPr>
        <w:t>（二）推进流域综合治理，提升自然生态公园城市品质</w:t>
      </w:r>
      <w:bookmarkEnd w:id="108"/>
      <w:bookmarkEnd w:id="109"/>
    </w:p>
    <w:p w14:paraId="3B3D15EB">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推进淦河流域、高桥河流域和汀泗河流域综合治理，守牢水安全、水环境安全、生态安全，提升排水防涝、防洪减灾和水资源支撑保障能力，巩固提升自然生态公园城市生态优势。</w:t>
      </w:r>
    </w:p>
    <w:p w14:paraId="3DE59BA8">
      <w:pPr>
        <w:pageBreakBefore w:val="0"/>
        <w:widowControl w:val="0"/>
        <w:kinsoku/>
        <w:wordWrap/>
        <w:overflowPunct/>
        <w:topLinePunct w:val="0"/>
        <w:autoSpaceDE/>
        <w:autoSpaceDN/>
        <w:bidi w:val="0"/>
        <w:adjustRightInd w:val="0"/>
        <w:snapToGrid w:val="0"/>
        <w:spacing w:line="560" w:lineRule="exact"/>
        <w:textAlignment w:val="auto"/>
        <w:outlineLvl w:val="2"/>
        <w:rPr>
          <w:rFonts w:hint="default" w:ascii="Times New Roman" w:hAnsi="Times New Roman" w:eastAsia="仿宋_GB2312" w:cs="Times New Roman"/>
          <w:b/>
          <w:color w:val="auto"/>
          <w:sz w:val="32"/>
          <w:szCs w:val="32"/>
          <w:highlight w:val="none"/>
          <w:lang w:val="en-US" w:eastAsia="zh-CN"/>
        </w:rPr>
      </w:pPr>
      <w:r>
        <w:rPr>
          <w:rFonts w:hint="default" w:ascii="Times New Roman" w:hAnsi="Times New Roman" w:eastAsia="仿宋_GB2312" w:cs="Times New Roman"/>
          <w:b/>
          <w:color w:val="auto"/>
          <w:sz w:val="32"/>
          <w:szCs w:val="32"/>
          <w:highlight w:val="none"/>
          <w:lang w:val="en-US" w:eastAsia="zh-CN"/>
        </w:rPr>
        <w:t>1</w:t>
      </w:r>
      <w:r>
        <w:rPr>
          <w:rFonts w:hint="default" w:ascii="Times New Roman" w:hAnsi="Times New Roman" w:eastAsia="仿宋_GB2312" w:cs="Times New Roman"/>
          <w:color w:val="auto"/>
          <w:highlight w:val="none"/>
          <w:lang w:val="en-US" w:eastAsia="zh-CN"/>
        </w:rPr>
        <w:t xml:space="preserve">. </w:t>
      </w:r>
      <w:r>
        <w:rPr>
          <w:rFonts w:hint="default" w:ascii="Times New Roman" w:hAnsi="Times New Roman" w:eastAsia="仿宋_GB2312" w:cs="Times New Roman"/>
          <w:b/>
          <w:color w:val="auto"/>
          <w:sz w:val="32"/>
          <w:szCs w:val="32"/>
          <w:highlight w:val="none"/>
          <w:lang w:val="en-US" w:eastAsia="zh-CN"/>
        </w:rPr>
        <w:t>守牢水安全底线，提升防洪减灾能力</w:t>
      </w:r>
    </w:p>
    <w:p w14:paraId="4813AFEA">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kern w:val="0"/>
          <w:sz w:val="32"/>
          <w:szCs w:val="32"/>
          <w:highlight w:val="none"/>
          <w:lang w:val="en-US" w:eastAsia="zh-CN" w:bidi="ar"/>
        </w:rPr>
        <w:t>推进长江干流综合治理，</w:t>
      </w:r>
      <w:r>
        <w:rPr>
          <w:rFonts w:hint="default" w:ascii="Times New Roman" w:hAnsi="Times New Roman" w:eastAsia="仿宋_GB2312" w:cs="Times New Roman"/>
          <w:color w:val="auto"/>
          <w:kern w:val="0"/>
          <w:sz w:val="32"/>
          <w:szCs w:val="32"/>
          <w:highlight w:val="none"/>
          <w:lang w:val="en-US" w:eastAsia="zh-CN" w:bidi="ar"/>
        </w:rPr>
        <w:t>加快实施长江干流堤防（咸宁段）提档升级工程、三峡后续工作长江中下游影响处理河道整治工程，全面提高长江干堤防洪标准。</w:t>
      </w:r>
      <w:r>
        <w:rPr>
          <w:rFonts w:hint="default" w:ascii="Times New Roman" w:hAnsi="Times New Roman" w:eastAsia="仿宋_GB2312" w:cs="Times New Roman"/>
          <w:b/>
          <w:bCs/>
          <w:color w:val="auto"/>
          <w:kern w:val="0"/>
          <w:sz w:val="32"/>
          <w:szCs w:val="32"/>
          <w:highlight w:val="none"/>
          <w:lang w:val="en-US" w:eastAsia="zh-CN" w:bidi="ar"/>
        </w:rPr>
        <w:t>推进重点河湖和中小河流综合治理，</w:t>
      </w:r>
      <w:r>
        <w:rPr>
          <w:rFonts w:hint="default" w:ascii="Times New Roman" w:hAnsi="Times New Roman" w:eastAsia="仿宋_GB2312" w:cs="Times New Roman"/>
          <w:color w:val="auto"/>
          <w:kern w:val="0"/>
          <w:sz w:val="32"/>
          <w:szCs w:val="32"/>
          <w:highlight w:val="none"/>
          <w:lang w:val="en-US" w:eastAsia="zh-CN" w:bidi="ar"/>
        </w:rPr>
        <w:t>重点实施淦河、高桥河和汀泗河骨干河流综合治理，积极推进两湖综合整治，对向阳湖围垸等重要垸堤进行防洪能力达标建设，充分发挥河湖调蓄功能，改善河道港渠行洪能力，全面提高河湖防洪排涝能力，保证河流两岸人民群众生命财产安全。</w:t>
      </w:r>
      <w:r>
        <w:rPr>
          <w:rFonts w:hint="default" w:ascii="Times New Roman" w:hAnsi="Times New Roman" w:eastAsia="仿宋_GB2312" w:cs="Times New Roman"/>
          <w:b/>
          <w:bCs/>
          <w:color w:val="auto"/>
          <w:kern w:val="0"/>
          <w:sz w:val="32"/>
          <w:szCs w:val="32"/>
          <w:highlight w:val="none"/>
          <w:lang w:val="en-US" w:eastAsia="zh-CN" w:bidi="ar"/>
        </w:rPr>
        <w:t>推进蓄滞洪区建设，</w:t>
      </w:r>
      <w:r>
        <w:rPr>
          <w:rFonts w:hint="default" w:ascii="Times New Roman" w:hAnsi="Times New Roman" w:eastAsia="仿宋_GB2312" w:cs="Times New Roman"/>
          <w:color w:val="auto"/>
          <w:kern w:val="0"/>
          <w:sz w:val="32"/>
          <w:szCs w:val="32"/>
          <w:highlight w:val="none"/>
          <w:lang w:val="en-US" w:eastAsia="zh-CN" w:bidi="ar"/>
        </w:rPr>
        <w:t>推进西凉湖蓄滞洪区一般蓄滞洪区安全区建设，确保西凉湖蓄滞洪区遇长江流域大洪水时“分得进、蓄得住、退得出”，合理布局西凉湖蓄滞洪区围堤、隔堤、进退洪设施工程，有效发挥蓄洪滞洪作用。</w:t>
      </w:r>
      <w:r>
        <w:rPr>
          <w:rFonts w:hint="default" w:ascii="Times New Roman" w:hAnsi="Times New Roman" w:eastAsia="仿宋_GB2312" w:cs="Times New Roman"/>
          <w:b/>
          <w:bCs/>
          <w:color w:val="auto"/>
          <w:kern w:val="0"/>
          <w:sz w:val="32"/>
          <w:szCs w:val="32"/>
          <w:highlight w:val="none"/>
          <w:lang w:val="en-US" w:eastAsia="zh-CN" w:bidi="ar"/>
        </w:rPr>
        <w:t>实施病险水库整治，</w:t>
      </w:r>
      <w:r>
        <w:rPr>
          <w:rFonts w:hint="default" w:ascii="Times New Roman" w:hAnsi="Times New Roman" w:eastAsia="仿宋_GB2312" w:cs="Times New Roman"/>
          <w:color w:val="auto"/>
          <w:kern w:val="0"/>
          <w:sz w:val="32"/>
          <w:szCs w:val="32"/>
          <w:highlight w:val="none"/>
          <w:lang w:val="en-US" w:eastAsia="zh-CN" w:bidi="ar"/>
        </w:rPr>
        <w:t>重点实施四门楼水库、唐斗山水库、杨塘渡水库、东方红水库除险加固工程，加大开展中小型水库安全隐患排查力度，找准水库病险隐患，加强责任监管和建设，力求做到“发现一处、消除一处”。</w:t>
      </w:r>
      <w:r>
        <w:rPr>
          <w:rFonts w:hint="default" w:ascii="Times New Roman" w:hAnsi="Times New Roman" w:eastAsia="仿宋_GB2312" w:cs="Times New Roman"/>
          <w:b/>
          <w:bCs/>
          <w:color w:val="auto"/>
          <w:kern w:val="0"/>
          <w:sz w:val="32"/>
          <w:szCs w:val="32"/>
          <w:highlight w:val="none"/>
          <w:lang w:val="en-US" w:eastAsia="zh-CN" w:bidi="ar"/>
        </w:rPr>
        <w:t>推进重点山洪沟治理工程，</w:t>
      </w:r>
      <w:r>
        <w:rPr>
          <w:rFonts w:hint="default" w:ascii="Times New Roman" w:hAnsi="Times New Roman" w:eastAsia="仿宋_GB2312" w:cs="Times New Roman"/>
          <w:color w:val="auto"/>
          <w:kern w:val="0"/>
          <w:sz w:val="32"/>
          <w:szCs w:val="32"/>
          <w:highlight w:val="none"/>
          <w:lang w:val="en-US" w:eastAsia="zh-CN" w:bidi="ar"/>
        </w:rPr>
        <w:t>按照“以防为主、防治结合”的原则，对重点山洪沟实施防洪系统治理，建成非工程措施与工程措施相结合、管理与监督同推进的山洪灾害防治体系，提高山洪灾害防治能力。</w:t>
      </w:r>
      <w:r>
        <w:rPr>
          <w:rFonts w:hint="default" w:ascii="Times New Roman" w:hAnsi="Times New Roman" w:eastAsia="仿宋_GB2312" w:cs="Times New Roman"/>
          <w:b/>
          <w:bCs/>
          <w:color w:val="auto"/>
          <w:kern w:val="0"/>
          <w:sz w:val="32"/>
          <w:szCs w:val="32"/>
          <w:highlight w:val="none"/>
          <w:lang w:val="en-US" w:eastAsia="zh-CN" w:bidi="ar"/>
        </w:rPr>
        <w:t>推进主城区防洪减灾治理</w:t>
      </w:r>
      <w:r>
        <w:rPr>
          <w:rFonts w:hint="default" w:ascii="Times New Roman" w:hAnsi="Times New Roman" w:eastAsia="仿宋_GB2312" w:cs="Times New Roman"/>
          <w:color w:val="auto"/>
          <w:kern w:val="0"/>
          <w:sz w:val="32"/>
          <w:szCs w:val="32"/>
          <w:highlight w:val="none"/>
          <w:lang w:val="en-US" w:eastAsia="zh-CN" w:bidi="ar"/>
        </w:rPr>
        <w:t>，重点围绕主城区建设防洪排涝工程，提升主城区外排能力，系统化推进海绵城市创建工作。通过优化雨水排水分区，实施雨水削峰调蓄和行泄通道建设，减轻主城区排涝压力；通过推进排水管渠系统及其附属设施建设改造，加强主城区易涝积水点整治。</w:t>
      </w:r>
      <w:r>
        <w:rPr>
          <w:rFonts w:hint="default" w:ascii="Times New Roman" w:hAnsi="Times New Roman" w:eastAsia="仿宋_GB2312" w:cs="Times New Roman"/>
          <w:b/>
          <w:bCs/>
          <w:color w:val="auto"/>
          <w:kern w:val="0"/>
          <w:sz w:val="32"/>
          <w:szCs w:val="32"/>
          <w:highlight w:val="none"/>
          <w:lang w:val="en-US" w:eastAsia="zh-CN" w:bidi="ar"/>
        </w:rPr>
        <w:t>提升防洪应急管理水平，</w:t>
      </w:r>
      <w:r>
        <w:rPr>
          <w:rFonts w:hint="default" w:ascii="Times New Roman" w:hAnsi="Times New Roman" w:eastAsia="仿宋_GB2312" w:cs="Times New Roman"/>
          <w:color w:val="auto"/>
          <w:kern w:val="0"/>
          <w:sz w:val="32"/>
          <w:szCs w:val="32"/>
          <w:highlight w:val="none"/>
          <w:lang w:val="en-US" w:eastAsia="zh-CN" w:bidi="ar"/>
        </w:rPr>
        <w:t>加快咸安区流域洪涝和自然灾害信息监控、监测预警、防洪调度指挥系统建设，完善暴雨渍涝灾害防御预案和重点区域专项应急预案等。加大防洪有关法律法规的宣传力度，普及防洪排涝知识，</w:t>
      </w:r>
      <w:r>
        <w:rPr>
          <w:rFonts w:hint="eastAsia" w:ascii="Times New Roman" w:hAnsi="Times New Roman" w:eastAsia="仿宋_GB2312" w:cs="Times New Roman"/>
          <w:color w:val="auto"/>
          <w:kern w:val="0"/>
          <w:sz w:val="32"/>
          <w:szCs w:val="32"/>
          <w:highlight w:val="none"/>
          <w:lang w:val="en-US" w:eastAsia="zh-CN" w:bidi="ar"/>
        </w:rPr>
        <w:t>增强水患意识</w:t>
      </w:r>
      <w:r>
        <w:rPr>
          <w:rFonts w:hint="default" w:ascii="Times New Roman" w:hAnsi="Times New Roman" w:eastAsia="仿宋_GB2312" w:cs="Times New Roman"/>
          <w:color w:val="auto"/>
          <w:kern w:val="0"/>
          <w:sz w:val="32"/>
          <w:szCs w:val="32"/>
          <w:highlight w:val="none"/>
          <w:lang w:val="en-US" w:eastAsia="zh-CN" w:bidi="ar"/>
        </w:rPr>
        <w:t>，提高公众防灾避险意识和自救互救能力。</w:t>
      </w:r>
    </w:p>
    <w:p w14:paraId="5A9FC20D">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highlight w:val="none"/>
        </w:rPr>
      </w:pPr>
      <w:r>
        <w:rPr>
          <w:rFonts w:hint="default" w:ascii="Times New Roman" w:hAnsi="Times New Roman" w:eastAsia="仿宋_GB2312" w:cs="Times New Roman"/>
          <w:b/>
          <w:bCs/>
          <w:color w:val="auto"/>
          <w:sz w:val="32"/>
          <w:szCs w:val="32"/>
          <w:highlight w:val="none"/>
        </w:rPr>
        <w:t>优化水资源配置和调度</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配合推进鄂东南水资源配置工程建设，提升鄂东南地区水资源支撑承载能力；以南川——四门楼——鸣水泉——五一水库连通工程为重点，加快推进应急备用水源工程，优化水资源配置格局，提升城镇供水、农村饮水、灌溉供水及生态供水保障能力。</w:t>
      </w:r>
      <w:r>
        <w:rPr>
          <w:rFonts w:hint="default" w:ascii="Times New Roman" w:hAnsi="Times New Roman" w:eastAsia="仿宋_GB2312" w:cs="Times New Roman"/>
          <w:b/>
          <w:bCs/>
          <w:color w:val="auto"/>
          <w:sz w:val="32"/>
          <w:szCs w:val="32"/>
          <w:highlight w:val="none"/>
          <w:lang w:eastAsia="zh-CN"/>
        </w:rPr>
        <w:t>推动城乡饮水工程提标升级，</w:t>
      </w:r>
      <w:r>
        <w:rPr>
          <w:rFonts w:hint="default" w:ascii="Times New Roman" w:hAnsi="Times New Roman" w:eastAsia="仿宋_GB2312" w:cs="Times New Roman"/>
          <w:b w:val="0"/>
          <w:bCs w:val="0"/>
          <w:color w:val="auto"/>
          <w:sz w:val="32"/>
          <w:szCs w:val="32"/>
          <w:highlight w:val="none"/>
          <w:lang w:eastAsia="zh-CN"/>
        </w:rPr>
        <w:t>按照“建大、并中、减小，小型为辅，分散补充”的思路，尽可能建大水厂、铺大管网，加快推进城乡一体化、规模化的农村集中供水工程建设，重点推进主城区供水增量提质工程、农村供水保障提标升级工程建设，完善城乡供水保障体系，促进城乡区域协调发展。</w:t>
      </w:r>
      <w:r>
        <w:rPr>
          <w:rFonts w:hint="default" w:ascii="Times New Roman" w:hAnsi="Times New Roman" w:eastAsia="仿宋_GB2312" w:cs="Times New Roman"/>
          <w:b/>
          <w:bCs/>
          <w:color w:val="auto"/>
          <w:sz w:val="32"/>
          <w:szCs w:val="32"/>
          <w:highlight w:val="none"/>
          <w:lang w:eastAsia="zh-CN"/>
        </w:rPr>
        <w:t>加快现代化灌区建设与改造，</w:t>
      </w:r>
      <w:r>
        <w:rPr>
          <w:rFonts w:hint="default" w:ascii="Times New Roman" w:hAnsi="Times New Roman" w:eastAsia="仿宋_GB2312" w:cs="Times New Roman"/>
          <w:b w:val="0"/>
          <w:bCs w:val="0"/>
          <w:color w:val="auto"/>
          <w:sz w:val="32"/>
          <w:szCs w:val="32"/>
          <w:highlight w:val="none"/>
          <w:lang w:eastAsia="zh-CN"/>
        </w:rPr>
        <w:t>重点推进大型灌区川石灌区建设，南川和双石重点中型灌区续建配套及现代化改造，构建水</w:t>
      </w:r>
      <w:r>
        <w:rPr>
          <w:rFonts w:hint="eastAsia" w:ascii="Times New Roman" w:hAnsi="Times New Roman" w:eastAsia="仿宋_GB2312" w:cs="Times New Roman"/>
          <w:b w:val="0"/>
          <w:bCs w:val="0"/>
          <w:color w:val="auto"/>
          <w:sz w:val="32"/>
          <w:szCs w:val="32"/>
          <w:highlight w:val="none"/>
          <w:lang w:val="en-US" w:eastAsia="zh-CN"/>
        </w:rPr>
        <w:t>资</w:t>
      </w:r>
      <w:r>
        <w:rPr>
          <w:rFonts w:hint="default" w:ascii="Times New Roman" w:hAnsi="Times New Roman" w:eastAsia="仿宋_GB2312" w:cs="Times New Roman"/>
          <w:b w:val="0"/>
          <w:bCs w:val="0"/>
          <w:color w:val="auto"/>
          <w:sz w:val="32"/>
          <w:szCs w:val="32"/>
          <w:highlight w:val="none"/>
          <w:lang w:eastAsia="zh-CN"/>
        </w:rPr>
        <w:t>源配置优化、设施完善、节水高效、生态良好、管理科学、保障有力的灌区运行管护体系，围绕水源供水、过程配水、田间生态高效灌排水和科学管水等环节进行灌区现代化建设，完善灌区输配水系统建设，改善灌区内水生态环境，着力提高灌区输配水效率，改善灌区条件，提升沿渠生态功能，支撑粮食生产能力。</w:t>
      </w:r>
      <w:r>
        <w:rPr>
          <w:rFonts w:hint="default" w:ascii="Times New Roman" w:hAnsi="Times New Roman" w:eastAsia="仿宋_GB2312" w:cs="Times New Roman"/>
          <w:b/>
          <w:bCs/>
          <w:color w:val="auto"/>
          <w:sz w:val="32"/>
          <w:szCs w:val="32"/>
          <w:highlight w:val="none"/>
          <w:lang w:eastAsia="zh-CN"/>
        </w:rPr>
        <w:t>推进咸安现代水网建设，</w:t>
      </w:r>
      <w:r>
        <w:rPr>
          <w:rFonts w:hint="default" w:ascii="Times New Roman" w:hAnsi="Times New Roman" w:eastAsia="仿宋_GB2312" w:cs="Times New Roman"/>
          <w:b w:val="0"/>
          <w:bCs w:val="0"/>
          <w:color w:val="auto"/>
          <w:sz w:val="32"/>
          <w:szCs w:val="32"/>
          <w:highlight w:val="none"/>
          <w:lang w:eastAsia="zh-CN"/>
        </w:rPr>
        <w:t>以淦河、高桥河、汀泗河三大水系为脉络，以村为节点，结合水域岸线并治、集中连片规划的原则，运用河湖清淤、水系连通、水体治理、岸坡整治、生态调度、河流管护等措施，补齐咸安水利突出短板，实现水系流动、水质良好、风景优美等综合目标。</w:t>
      </w:r>
      <w:r>
        <w:rPr>
          <w:rFonts w:hint="default" w:ascii="Times New Roman" w:hAnsi="Times New Roman" w:eastAsia="仿宋_GB2312" w:cs="Times New Roman"/>
          <w:b/>
          <w:bCs/>
          <w:color w:val="auto"/>
          <w:sz w:val="32"/>
          <w:szCs w:val="32"/>
          <w:highlight w:val="none"/>
          <w:lang w:eastAsia="zh-CN"/>
        </w:rPr>
        <w:t>坚持节水优先，强化地热资源保护，</w:t>
      </w:r>
      <w:r>
        <w:rPr>
          <w:rFonts w:hint="default" w:ascii="Times New Roman" w:hAnsi="Times New Roman" w:eastAsia="仿宋_GB2312" w:cs="Times New Roman"/>
          <w:b w:val="0"/>
          <w:bCs w:val="0"/>
          <w:color w:val="auto"/>
          <w:sz w:val="32"/>
          <w:szCs w:val="32"/>
          <w:highlight w:val="none"/>
          <w:lang w:eastAsia="zh-CN"/>
        </w:rPr>
        <w:t>推进农业节水增效、工业节水减排、</w:t>
      </w:r>
      <w:r>
        <w:rPr>
          <w:rFonts w:hint="eastAsia" w:ascii="仿宋_GB2312" w:hAnsi="仿宋_GB2312" w:eastAsia="仿宋_GB2312" w:cs="仿宋_GB2312"/>
          <w:b w:val="0"/>
          <w:bCs w:val="0"/>
          <w:color w:val="auto"/>
          <w:sz w:val="32"/>
          <w:szCs w:val="32"/>
          <w:highlight w:val="none"/>
          <w:lang w:eastAsia="zh-CN"/>
        </w:rPr>
        <w:t>城镇节水降损，加强非常规水源利用，大力发展节水产业，推广节水新技术，推进节水型社会建设。到2025年咸安区用水总量控制在3.325亿立方米以内，农田灌溉水利用系数不低于0.545，单位工业增加值用水量累计降幅不低于16%，非常规水源利用量不低于0.02亿立方米。严格地热资源取水许可管理，规范地热开采行为，防止过度开采地热资源，推动地热资源的集约开发和可持续利用。</w:t>
      </w:r>
    </w:p>
    <w:p w14:paraId="63CB35F4">
      <w:pPr>
        <w:pageBreakBefore w:val="0"/>
        <w:widowControl w:val="0"/>
        <w:kinsoku/>
        <w:wordWrap/>
        <w:overflowPunct/>
        <w:topLinePunct w:val="0"/>
        <w:autoSpaceDE/>
        <w:autoSpaceDN/>
        <w:bidi w:val="0"/>
        <w:adjustRightInd w:val="0"/>
        <w:snapToGrid w:val="0"/>
        <w:spacing w:line="560" w:lineRule="exact"/>
        <w:textAlignment w:val="auto"/>
        <w:outlineLvl w:val="2"/>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lang w:val="en-US" w:eastAsia="zh-CN"/>
        </w:rPr>
        <w:t>2</w:t>
      </w:r>
      <w:r>
        <w:rPr>
          <w:rFonts w:hint="default" w:ascii="Times New Roman" w:hAnsi="Times New Roman" w:eastAsia="仿宋_GB2312" w:cs="Times New Roman"/>
          <w:color w:val="auto"/>
          <w:lang w:val="en-US" w:eastAsia="zh-CN"/>
        </w:rPr>
        <w:t xml:space="preserve">. </w:t>
      </w:r>
      <w:r>
        <w:rPr>
          <w:rFonts w:hint="default" w:ascii="Times New Roman" w:hAnsi="Times New Roman" w:eastAsia="仿宋_GB2312" w:cs="Times New Roman"/>
          <w:b/>
          <w:color w:val="auto"/>
          <w:sz w:val="32"/>
          <w:szCs w:val="32"/>
          <w:lang w:val="en-US" w:eastAsia="zh-CN"/>
        </w:rPr>
        <w:t>守牢水环境安全底线，确保河湖水质安全</w:t>
      </w:r>
    </w:p>
    <w:p w14:paraId="4E0B74E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深化流域水环境综合治理。</w:t>
      </w:r>
      <w:r>
        <w:rPr>
          <w:rFonts w:hint="default" w:ascii="Times New Roman" w:hAnsi="Times New Roman" w:eastAsia="仿宋_GB2312" w:cs="Times New Roman"/>
          <w:color w:val="auto"/>
          <w:sz w:val="32"/>
          <w:szCs w:val="32"/>
          <w:lang w:val="en-US" w:eastAsia="zh-CN"/>
        </w:rPr>
        <w:t>落实河湖长制，</w:t>
      </w:r>
      <w:r>
        <w:rPr>
          <w:rFonts w:hint="default" w:ascii="Times New Roman" w:hAnsi="Times New Roman" w:eastAsia="仿宋_GB2312" w:cs="Times New Roman"/>
          <w:color w:val="auto"/>
          <w:sz w:val="32"/>
          <w:szCs w:val="32"/>
        </w:rPr>
        <w:t>有序推进斧头湖、西凉湖等重点</w:t>
      </w:r>
      <w:r>
        <w:rPr>
          <w:rFonts w:hint="default" w:ascii="Times New Roman" w:hAnsi="Times New Roman" w:eastAsia="仿宋_GB2312" w:cs="Times New Roman"/>
          <w:color w:val="auto"/>
        </w:rPr>
        <w:t>湖泊</w:t>
      </w:r>
      <w:r>
        <w:rPr>
          <w:rFonts w:hint="default" w:ascii="Times New Roman" w:hAnsi="Times New Roman" w:eastAsia="仿宋_GB2312" w:cs="Times New Roman"/>
          <w:color w:val="auto"/>
          <w:sz w:val="32"/>
          <w:szCs w:val="32"/>
        </w:rPr>
        <w:t>入湖口及淦河等主要河流入河排污口排查整治</w:t>
      </w:r>
      <w:r>
        <w:rPr>
          <w:rFonts w:hint="eastAsia" w:ascii="Times New Roman" w:hAnsi="Times New Roman" w:eastAsia="仿宋_GB2312" w:cs="Times New Roman"/>
          <w:color w:val="auto"/>
          <w:sz w:val="32"/>
          <w:szCs w:val="32"/>
          <w:lang w:val="en-US" w:eastAsia="zh-CN"/>
        </w:rPr>
        <w:t>，打造</w:t>
      </w:r>
      <w:r>
        <w:rPr>
          <w:rFonts w:hint="default" w:ascii="Times New Roman" w:hAnsi="Times New Roman" w:eastAsia="仿宋_GB2312" w:cs="Times New Roman"/>
          <w:color w:val="auto"/>
          <w:sz w:val="32"/>
          <w:szCs w:val="32"/>
          <w:lang w:val="en-US" w:eastAsia="zh-CN"/>
        </w:rPr>
        <w:t>北洪港和龙潭河</w:t>
      </w:r>
      <w:r>
        <w:rPr>
          <w:rFonts w:hint="eastAsia" w:ascii="仿宋_GB2312" w:hAnsi="仿宋_GB2312" w:eastAsia="仿宋_GB2312" w:cs="仿宋_GB2312"/>
          <w:color w:val="auto"/>
          <w:sz w:val="32"/>
          <w:szCs w:val="32"/>
          <w:lang w:val="en-US" w:eastAsia="zh-CN"/>
        </w:rPr>
        <w:t>小流域治理样板。深化农业面源污染防治，推进化肥农药持续减量增效，规范“两湖”流域水产养殖、畜牧养殖管理，实现畜禽粪污综合治理全覆盖。</w:t>
      </w:r>
      <w:r>
        <w:rPr>
          <w:rFonts w:hint="eastAsia" w:ascii="仿宋_GB2312" w:hAnsi="仿宋_GB2312" w:eastAsia="仿宋_GB2312" w:cs="仿宋_GB2312"/>
          <w:b w:val="0"/>
          <w:bCs w:val="0"/>
          <w:color w:val="auto"/>
          <w:kern w:val="0"/>
          <w:sz w:val="32"/>
          <w:szCs w:val="32"/>
          <w:lang w:val="en-US" w:eastAsia="zh-CN" w:bidi="ar"/>
        </w:rPr>
        <w:t>确保河湖水质优良比例不降低，水质不恶化。</w:t>
      </w:r>
      <w:r>
        <w:rPr>
          <w:rFonts w:hint="eastAsia" w:ascii="仿宋_GB2312" w:hAnsi="仿宋_GB2312" w:eastAsia="仿宋_GB2312" w:cs="仿宋_GB2312"/>
          <w:color w:val="auto"/>
          <w:kern w:val="0"/>
          <w:sz w:val="32"/>
          <w:szCs w:val="32"/>
          <w:lang w:val="en-US" w:eastAsia="zh-CN" w:bidi="ar"/>
        </w:rPr>
        <w:t>到2025年，市控以上断面水质优良比例达到100%，全面消除劣五类水体，全区农村生活污水治理率不低于35%。</w:t>
      </w:r>
    </w:p>
    <w:p w14:paraId="1EF697D2">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加强水环境风险防控</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推进集中式饮用水水源地规范化建设，完善水质在线监测平台，保障全区供水安全。开展饮用水水源地环境风险排查整治，编制水源地应急预案，做到“一源一案</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sz w:val="32"/>
          <w:szCs w:val="32"/>
        </w:rPr>
        <w:t>一源一档”。开展入河入湖排污口监测溯源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有效管控入河入湖污染物排放总量。建设水质预警体系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建设流域重点断面在线监测设施，完成淦河流域“一河一策一图”环境应急响应方案，建立流域水环境风险联防联控体系</w:t>
      </w:r>
      <w:r>
        <w:rPr>
          <w:rFonts w:hint="eastAsia" w:ascii="仿宋_GB2312" w:hAnsi="仿宋_GB2312" w:eastAsia="仿宋_GB2312" w:cs="仿宋_GB2312"/>
          <w:color w:val="auto"/>
          <w:sz w:val="32"/>
          <w:szCs w:val="32"/>
          <w:lang w:eastAsia="zh-CN"/>
        </w:rPr>
        <w:t>。</w:t>
      </w:r>
    </w:p>
    <w:p w14:paraId="38938252">
      <w:pPr>
        <w:pageBreakBefore w:val="0"/>
        <w:widowControl w:val="0"/>
        <w:kinsoku/>
        <w:wordWrap/>
        <w:overflowPunct/>
        <w:topLinePunct w:val="0"/>
        <w:autoSpaceDE/>
        <w:autoSpaceDN/>
        <w:bidi w:val="0"/>
        <w:adjustRightInd w:val="0"/>
        <w:snapToGrid w:val="0"/>
        <w:spacing w:line="560" w:lineRule="exact"/>
        <w:textAlignment w:val="auto"/>
        <w:outlineLvl w:val="2"/>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lang w:val="en-US" w:eastAsia="zh-CN"/>
        </w:rPr>
        <w:t>3</w:t>
      </w:r>
      <w:r>
        <w:rPr>
          <w:rFonts w:hint="default" w:ascii="Times New Roman" w:hAnsi="Times New Roman" w:eastAsia="仿宋_GB2312" w:cs="Times New Roman"/>
          <w:color w:val="auto"/>
          <w:lang w:val="en-US" w:eastAsia="zh-CN"/>
        </w:rPr>
        <w:t xml:space="preserve">. </w:t>
      </w:r>
      <w:r>
        <w:rPr>
          <w:rFonts w:hint="default" w:ascii="Times New Roman" w:hAnsi="Times New Roman" w:eastAsia="仿宋_GB2312" w:cs="Times New Roman"/>
          <w:b/>
          <w:color w:val="auto"/>
          <w:sz w:val="32"/>
          <w:szCs w:val="32"/>
          <w:lang w:val="en-US" w:eastAsia="zh-CN"/>
        </w:rPr>
        <w:t>守牢生态安全底线，提升自然生态公园城市品质</w:t>
      </w:r>
    </w:p>
    <w:p w14:paraId="20FA4607">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rPr>
      </w:pPr>
      <w:r>
        <w:rPr>
          <w:rFonts w:hint="default" w:ascii="Times New Roman" w:hAnsi="Times New Roman" w:eastAsia="仿宋_GB2312" w:cs="Times New Roman"/>
          <w:b/>
          <w:bCs/>
          <w:color w:val="auto"/>
          <w:sz w:val="32"/>
          <w:szCs w:val="32"/>
          <w:lang w:val="en-US" w:eastAsia="zh-CN"/>
        </w:rPr>
        <w:t>加强生态治理。</w:t>
      </w:r>
      <w:r>
        <w:rPr>
          <w:rFonts w:hint="eastAsia" w:ascii="仿宋_GB2312" w:hAnsi="仿宋_GB2312" w:eastAsia="仿宋_GB2312" w:cs="仿宋_GB2312"/>
          <w:b w:val="0"/>
          <w:bCs w:val="0"/>
          <w:color w:val="auto"/>
          <w:kern w:val="0"/>
          <w:sz w:val="32"/>
          <w:szCs w:val="32"/>
          <w:lang w:val="en-US" w:eastAsia="zh-CN" w:bidi="ar"/>
        </w:rPr>
        <w:t>开展矿山综合治理，对G107国道、武广高铁、京港澳高速、咸通高速和S208省道等主要交通通道两侧1千米范围内的已关停和历史遗留废弃矿山因地制宜开展综合治理，</w:t>
      </w:r>
      <w:r>
        <w:rPr>
          <w:rFonts w:hint="eastAsia" w:ascii="仿宋_GB2312" w:hAnsi="仿宋_GB2312" w:eastAsia="仿宋_GB2312" w:cs="仿宋_GB2312"/>
          <w:b w:val="0"/>
          <w:bCs w:val="0"/>
          <w:color w:val="auto"/>
          <w:sz w:val="32"/>
          <w:szCs w:val="32"/>
          <w:lang w:val="en-US" w:eastAsia="zh-CN"/>
        </w:rPr>
        <w:t>落实矿山生态修复后期绿植管护，确保按时按点保质保量完成生态修复任务。</w:t>
      </w:r>
      <w:r>
        <w:rPr>
          <w:rFonts w:hint="eastAsia" w:ascii="仿宋_GB2312" w:hAnsi="仿宋_GB2312" w:eastAsia="仿宋_GB2312" w:cs="仿宋_GB2312"/>
          <w:b w:val="0"/>
          <w:bCs w:val="0"/>
          <w:color w:val="auto"/>
          <w:kern w:val="0"/>
          <w:sz w:val="32"/>
          <w:szCs w:val="32"/>
          <w:lang w:val="en-US" w:eastAsia="zh-CN" w:bidi="ar"/>
        </w:rPr>
        <w:t>按照绿色矿山建设要求，对正在开采的矿山采取“边开采边治理”措施。</w:t>
      </w:r>
      <w:r>
        <w:rPr>
          <w:rFonts w:hint="eastAsia" w:ascii="仿宋_GB2312" w:hAnsi="仿宋_GB2312" w:eastAsia="仿宋_GB2312" w:cs="仿宋_GB2312"/>
          <w:b w:val="0"/>
          <w:bCs w:val="0"/>
          <w:color w:val="auto"/>
          <w:sz w:val="32"/>
          <w:szCs w:val="32"/>
          <w:lang w:val="en-US" w:eastAsia="zh-CN"/>
        </w:rPr>
        <w:t>保质保时实施全域国土综合整治项目，确保向阳湖奶牛良种场全域整治项目通过全省全域国土综合整治项目整体验收。</w:t>
      </w:r>
      <w:r>
        <w:rPr>
          <w:rFonts w:hint="eastAsia" w:ascii="仿宋_GB2312" w:hAnsi="仿宋_GB2312" w:eastAsia="仿宋_GB2312" w:cs="仿宋_GB2312"/>
          <w:b w:val="0"/>
          <w:bCs w:val="0"/>
          <w:color w:val="auto"/>
          <w:kern w:val="0"/>
          <w:sz w:val="32"/>
          <w:szCs w:val="32"/>
          <w:lang w:val="en-US" w:eastAsia="zh-CN" w:bidi="ar"/>
        </w:rPr>
        <w:t>推进地质灾害综合防治，在地质灾害高易发区开展地质灾害隐患点工程治理和地质灾害搬迁避让，</w:t>
      </w:r>
      <w:r>
        <w:rPr>
          <w:rFonts w:hint="eastAsia" w:ascii="仿宋_GB2312" w:hAnsi="仿宋_GB2312" w:eastAsia="仿宋_GB2312" w:cs="仿宋_GB2312"/>
          <w:b w:val="0"/>
          <w:bCs w:val="0"/>
          <w:color w:val="auto"/>
          <w:sz w:val="32"/>
          <w:szCs w:val="32"/>
          <w:lang w:val="en-US" w:eastAsia="zh-CN"/>
        </w:rPr>
        <w:t>做好地质灾害监测，</w:t>
      </w:r>
      <w:r>
        <w:rPr>
          <w:rFonts w:hint="eastAsia" w:ascii="仿宋_GB2312" w:hAnsi="仿宋_GB2312" w:eastAsia="仿宋_GB2312" w:cs="仿宋_GB2312"/>
          <w:b w:val="0"/>
          <w:bCs w:val="0"/>
          <w:color w:val="auto"/>
          <w:kern w:val="0"/>
          <w:sz w:val="32"/>
          <w:szCs w:val="32"/>
          <w:lang w:val="en-US" w:eastAsia="zh-CN" w:bidi="ar"/>
        </w:rPr>
        <w:t>有效防治地质灾害。</w:t>
      </w:r>
      <w:r>
        <w:rPr>
          <w:rFonts w:hint="eastAsia" w:ascii="仿宋_GB2312" w:hAnsi="仿宋_GB2312" w:eastAsia="仿宋_GB2312" w:cs="仿宋_GB2312"/>
          <w:color w:val="auto"/>
          <w:sz w:val="32"/>
          <w:szCs w:val="32"/>
          <w:lang w:val="en-US" w:eastAsia="zh-CN"/>
        </w:rPr>
        <w:t>加强挥发性有机物和扬尘治理，加强工业大气污染防治、建筑施工扬尘污染防治、道路施工扬尘防控和机动车尾气污染防治，扎实做好秸秆禁烧工作。深入推进餐饮油烟综合整治。</w:t>
      </w:r>
    </w:p>
    <w:p w14:paraId="6072CF4F">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加强生态建设。</w:t>
      </w:r>
      <w:r>
        <w:rPr>
          <w:rFonts w:hint="eastAsia" w:ascii="Times New Roman" w:hAnsi="Times New Roman" w:eastAsia="仿宋_GB2312" w:cs="Times New Roman"/>
          <w:b w:val="0"/>
          <w:bCs w:val="0"/>
          <w:color w:val="auto"/>
          <w:sz w:val="32"/>
          <w:szCs w:val="32"/>
          <w:lang w:val="en-US" w:eastAsia="zh-CN"/>
        </w:rPr>
        <w:t>扎实推进全域国土绿化、森林质量精准提升</w:t>
      </w:r>
      <w:r>
        <w:rPr>
          <w:rFonts w:hint="default" w:ascii="Times New Roman" w:hAnsi="Times New Roman" w:eastAsia="仿宋_GB2312" w:cs="Times New Roman"/>
          <w:b w:val="0"/>
          <w:bCs w:val="0"/>
          <w:color w:val="auto"/>
          <w:sz w:val="32"/>
          <w:szCs w:val="32"/>
          <w:lang w:val="en-US" w:eastAsia="zh-CN"/>
        </w:rPr>
        <w:t>，</w:t>
      </w:r>
      <w:r>
        <w:rPr>
          <w:rFonts w:hint="eastAsia" w:ascii="仿宋_GB2312" w:hAnsi="仿宋_GB2312" w:eastAsia="仿宋_GB2312" w:cs="仿宋_GB2312"/>
          <w:b w:val="0"/>
          <w:bCs/>
          <w:color w:val="auto"/>
          <w:w w:val="100"/>
          <w:sz w:val="32"/>
          <w:szCs w:val="32"/>
          <w:lang w:val="en-US" w:eastAsia="zh-CN"/>
        </w:rPr>
        <w:t>加强15.35万亩公益林和47.5万亩天然</w:t>
      </w:r>
      <w:r>
        <w:rPr>
          <w:rFonts w:hint="default" w:ascii="Times New Roman" w:hAnsi="Times New Roman" w:eastAsia="仿宋_GB2312" w:cs="Times New Roman"/>
          <w:b w:val="0"/>
          <w:bCs/>
          <w:color w:val="auto"/>
          <w:w w:val="100"/>
          <w:sz w:val="32"/>
          <w:szCs w:val="32"/>
          <w:lang w:val="en-US" w:eastAsia="zh-CN"/>
        </w:rPr>
        <w:t>林保护</w:t>
      </w:r>
      <w:r>
        <w:rPr>
          <w:rFonts w:hint="default" w:ascii="Times New Roman" w:hAnsi="Times New Roman" w:eastAsia="仿宋_GB2312" w:cs="Times New Roman"/>
          <w:color w:val="auto"/>
          <w:sz w:val="32"/>
          <w:szCs w:val="32"/>
          <w:lang w:val="en-US" w:eastAsia="zh-CN"/>
        </w:rPr>
        <w:t>，抓好森林防火、</w:t>
      </w:r>
      <w:r>
        <w:rPr>
          <w:rFonts w:hint="default" w:ascii="Times New Roman" w:hAnsi="Times New Roman" w:eastAsia="仿宋_GB2312" w:cs="Times New Roman"/>
          <w:b w:val="0"/>
          <w:bCs/>
          <w:color w:val="auto"/>
          <w:w w:val="100"/>
          <w:sz w:val="32"/>
          <w:szCs w:val="32"/>
          <w:lang w:val="en-US" w:eastAsia="zh-CN"/>
        </w:rPr>
        <w:t>森林病虫害防治</w:t>
      </w:r>
      <w:r>
        <w:rPr>
          <w:rFonts w:hint="default" w:ascii="Times New Roman" w:hAnsi="Times New Roman" w:eastAsia="仿宋_GB2312" w:cs="Times New Roman"/>
          <w:color w:val="auto"/>
          <w:sz w:val="32"/>
          <w:szCs w:val="32"/>
          <w:lang w:val="en-US" w:eastAsia="zh-CN"/>
        </w:rPr>
        <w:t>、古树名木保护，</w:t>
      </w:r>
      <w:r>
        <w:rPr>
          <w:rFonts w:hint="default" w:ascii="Times New Roman" w:hAnsi="Times New Roman" w:eastAsia="仿宋_GB2312" w:cs="Times New Roman"/>
          <w:color w:val="auto"/>
          <w:sz w:val="32"/>
          <w:szCs w:val="32"/>
        </w:rPr>
        <w:t>开展生物多样性保护。及时对采伐迹地进行更新，抓好新造林地的抚育管理，保持国土绿化面积不减少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提高森林蓄积量和景观效果。</w:t>
      </w:r>
      <w:r>
        <w:rPr>
          <w:rFonts w:hint="default" w:ascii="Times New Roman" w:hAnsi="Times New Roman" w:eastAsia="仿宋_GB2312" w:cs="Times New Roman"/>
          <w:color w:val="auto"/>
          <w:sz w:val="32"/>
          <w:szCs w:val="32"/>
          <w:lang w:val="en-US" w:eastAsia="zh-CN"/>
        </w:rPr>
        <w:t>建设植桂添香示范点，扩大桂花种植面积，加强古桂群落保护修复。</w:t>
      </w:r>
      <w:r>
        <w:rPr>
          <w:rFonts w:hint="default" w:ascii="Times New Roman" w:hAnsi="Times New Roman" w:eastAsia="仿宋_GB2312" w:cs="Times New Roman"/>
          <w:b w:val="0"/>
          <w:bCs w:val="0"/>
          <w:color w:val="auto"/>
          <w:kern w:val="0"/>
          <w:sz w:val="32"/>
          <w:szCs w:val="32"/>
          <w:lang w:val="en-US" w:eastAsia="zh-CN" w:bidi="ar"/>
        </w:rPr>
        <w:t>加强淦河流域、高桥河流域和汀泗河流域源头水源涵养保护。</w:t>
      </w:r>
      <w:r>
        <w:rPr>
          <w:rFonts w:hint="default" w:ascii="Times New Roman" w:hAnsi="Times New Roman" w:eastAsia="仿宋_GB2312" w:cs="Times New Roman"/>
          <w:b w:val="0"/>
          <w:bCs w:val="0"/>
          <w:color w:val="auto"/>
          <w:sz w:val="32"/>
          <w:szCs w:val="32"/>
          <w:lang w:val="en-US" w:eastAsia="zh-CN"/>
        </w:rPr>
        <w:t>保护向阳湖</w:t>
      </w:r>
      <w:r>
        <w:rPr>
          <w:rFonts w:hint="default" w:ascii="Times New Roman" w:hAnsi="Times New Roman" w:eastAsia="仿宋_GB2312" w:cs="Times New Roman"/>
          <w:b w:val="0"/>
          <w:bCs w:val="0"/>
          <w:color w:val="auto"/>
          <w:sz w:val="32"/>
          <w:szCs w:val="32"/>
          <w:highlight w:val="none"/>
          <w:lang w:val="en-US" w:eastAsia="zh-CN"/>
        </w:rPr>
        <w:t>、大洲</w:t>
      </w:r>
      <w:r>
        <w:rPr>
          <w:rFonts w:hint="default" w:ascii="Times New Roman" w:hAnsi="Times New Roman" w:eastAsia="仿宋_GB2312" w:cs="Times New Roman"/>
          <w:b w:val="0"/>
          <w:bCs w:val="0"/>
          <w:color w:val="auto"/>
          <w:sz w:val="32"/>
          <w:szCs w:val="32"/>
          <w:lang w:val="en-US" w:eastAsia="zh-CN"/>
        </w:rPr>
        <w:t>湖等湿地资源，</w:t>
      </w:r>
      <w:r>
        <w:rPr>
          <w:rFonts w:hint="default" w:ascii="Times New Roman" w:hAnsi="Times New Roman" w:eastAsia="仿宋_GB2312" w:cs="Times New Roman"/>
          <w:b w:val="0"/>
          <w:bCs w:val="0"/>
          <w:color w:val="auto"/>
          <w:kern w:val="0"/>
          <w:sz w:val="32"/>
          <w:szCs w:val="32"/>
          <w:lang w:val="en-US" w:eastAsia="zh-CN" w:bidi="ar"/>
        </w:rPr>
        <w:t>实施斧头湖等重点河湖退垸还湖还湿工程，加强西凉湖、向阳湖等湿地公园内保护和修复，逐步完善湿地保护体系。</w:t>
      </w:r>
      <w:r>
        <w:rPr>
          <w:rFonts w:hint="default" w:ascii="Times New Roman" w:hAnsi="Times New Roman" w:eastAsia="仿宋_GB2312" w:cs="Times New Roman"/>
          <w:b w:val="0"/>
          <w:bCs w:val="0"/>
          <w:color w:val="auto"/>
          <w:sz w:val="32"/>
          <w:szCs w:val="32"/>
          <w:lang w:val="en-US" w:eastAsia="zh-CN"/>
        </w:rPr>
        <w:t>构筑生态田园格局，以淦河、高桥河等主干河流和道路绿化带为骨架，以公园绿地、街头游园、庭院绿化为点缀打造生态空间，提升沿湖沿河地带生态防护功能。</w:t>
      </w:r>
      <w:r>
        <w:rPr>
          <w:rFonts w:hint="default" w:ascii="Times New Roman" w:hAnsi="Times New Roman" w:eastAsia="仿宋_GB2312" w:cs="Times New Roman"/>
          <w:b w:val="0"/>
          <w:bCs w:val="0"/>
          <w:color w:val="auto"/>
          <w:kern w:val="0"/>
          <w:sz w:val="32"/>
          <w:szCs w:val="32"/>
          <w:lang w:val="en-US" w:eastAsia="zh-CN" w:bidi="ar"/>
        </w:rPr>
        <w:t>塑造自然生态公园城市特色景观风貌，以</w:t>
      </w:r>
      <w:r>
        <w:rPr>
          <w:rFonts w:hint="default" w:ascii="Times New Roman" w:hAnsi="Times New Roman" w:eastAsia="仿宋_GB2312" w:cs="Times New Roman"/>
          <w:color w:val="auto"/>
          <w:kern w:val="0"/>
          <w:sz w:val="32"/>
          <w:szCs w:val="32"/>
          <w:lang w:val="en-US" w:eastAsia="zh-CN" w:bidi="ar"/>
        </w:rPr>
        <w:t>淦河“百里画廊”建设为重点，完善风景道、绿道等绿色基础设施，建设均衡共享的城市公园体系。</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0EE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373E9D2">
            <w:pPr>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default" w:ascii="Times New Roman" w:hAnsi="Times New Roman" w:eastAsia="仿宋_GB2312" w:cs="Times New Roman"/>
                <w:color w:val="auto"/>
                <w:kern w:val="0"/>
                <w:sz w:val="32"/>
                <w:szCs w:val="32"/>
                <w:vertAlign w:val="baseline"/>
                <w:lang w:val="en-US" w:eastAsia="zh-CN" w:bidi="ar"/>
              </w:rPr>
            </w:pPr>
            <w:r>
              <w:rPr>
                <w:rFonts w:hint="default" w:ascii="Times New Roman" w:hAnsi="Times New Roman" w:eastAsia="楷体_GB2312" w:cs="Times New Roman"/>
                <w:b/>
                <w:bCs/>
                <w:color w:val="auto"/>
                <w:kern w:val="0"/>
                <w:sz w:val="32"/>
                <w:szCs w:val="32"/>
                <w:vertAlign w:val="baseline"/>
                <w:lang w:val="en-US" w:eastAsia="zh-CN" w:bidi="ar"/>
              </w:rPr>
              <w:t>专栏2  流域综合治理重</w:t>
            </w:r>
            <w:r>
              <w:rPr>
                <w:rFonts w:hint="eastAsia" w:ascii="Times New Roman" w:hAnsi="Times New Roman" w:eastAsia="楷体_GB2312" w:cs="Times New Roman"/>
                <w:b/>
                <w:bCs/>
                <w:color w:val="auto"/>
                <w:kern w:val="0"/>
                <w:sz w:val="32"/>
                <w:szCs w:val="32"/>
                <w:vertAlign w:val="baseline"/>
                <w:lang w:val="en-US" w:eastAsia="zh-CN" w:bidi="ar"/>
              </w:rPr>
              <w:t>大</w:t>
            </w:r>
            <w:r>
              <w:rPr>
                <w:rFonts w:hint="default" w:ascii="Times New Roman" w:hAnsi="Times New Roman" w:eastAsia="楷体_GB2312" w:cs="Times New Roman"/>
                <w:b/>
                <w:bCs/>
                <w:color w:val="auto"/>
                <w:kern w:val="0"/>
                <w:sz w:val="32"/>
                <w:szCs w:val="32"/>
                <w:vertAlign w:val="baseline"/>
                <w:lang w:val="en-US" w:eastAsia="zh-CN" w:bidi="ar"/>
              </w:rPr>
              <w:t>项目</w:t>
            </w:r>
          </w:p>
        </w:tc>
      </w:tr>
      <w:tr w14:paraId="2366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7D1FB9C">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水安全项目。</w:t>
            </w:r>
            <w:r>
              <w:rPr>
                <w:rFonts w:hint="default" w:ascii="Times New Roman" w:hAnsi="Times New Roman" w:eastAsia="仿宋_GB2312" w:cs="Times New Roman"/>
                <w:b w:val="0"/>
                <w:bCs w:val="0"/>
                <w:color w:val="auto"/>
                <w:kern w:val="0"/>
                <w:sz w:val="30"/>
                <w:szCs w:val="30"/>
                <w:lang w:val="en-US" w:eastAsia="zh-CN" w:bidi="ar"/>
              </w:rPr>
              <w:t>长江干流堤防（咸宁段）提档升级项目、三峡后续工作长江中下游影响处理河道整治项目、长江四邑公堤生态综合整治项目、淦河城市防洪能力提升项目、山洪地质灾害防治项目。川石灌区建设项目、南川和双石重点中型灌区续建配套及现代化改造项目、王英水库城市供水二期项目、横沟桥镇城乡供水一体化建设项目、南川—四门楼—鸣水泉—五一水库连通项目、农村供水保障提标升级项目。</w:t>
            </w:r>
          </w:p>
          <w:p w14:paraId="20C0ED6F">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vertAlign w:val="baseline"/>
                <w:lang w:val="en-US" w:eastAsia="zh-CN" w:bidi="ar"/>
              </w:rPr>
            </w:pPr>
            <w:r>
              <w:rPr>
                <w:rFonts w:hint="default" w:ascii="Times New Roman" w:hAnsi="Times New Roman" w:eastAsia="仿宋_GB2312" w:cs="Times New Roman"/>
                <w:b/>
                <w:bCs/>
                <w:color w:val="auto"/>
                <w:kern w:val="0"/>
                <w:sz w:val="30"/>
                <w:szCs w:val="30"/>
                <w:lang w:val="en-US" w:eastAsia="zh-CN" w:bidi="ar"/>
              </w:rPr>
              <w:t>水环境项目</w:t>
            </w:r>
            <w:r>
              <w:rPr>
                <w:rFonts w:hint="default" w:ascii="Times New Roman" w:hAnsi="Times New Roman" w:eastAsia="仿宋_GB2312" w:cs="Times New Roman"/>
                <w:b w:val="0"/>
                <w:bCs w:val="0"/>
                <w:color w:val="auto"/>
                <w:kern w:val="0"/>
                <w:sz w:val="30"/>
                <w:szCs w:val="30"/>
                <w:lang w:val="en-US" w:eastAsia="zh-CN" w:bidi="ar"/>
              </w:rPr>
              <w:t>。</w:t>
            </w:r>
            <w:r>
              <w:rPr>
                <w:rFonts w:hint="eastAsia" w:ascii="Times New Roman" w:hAnsi="Times New Roman" w:eastAsia="仿宋_GB2312" w:cs="Times New Roman"/>
                <w:b w:val="0"/>
                <w:bCs w:val="0"/>
                <w:color w:val="auto"/>
                <w:kern w:val="0"/>
                <w:sz w:val="30"/>
                <w:szCs w:val="30"/>
                <w:lang w:val="en-US" w:eastAsia="zh-CN" w:bidi="ar"/>
              </w:rPr>
              <w:t>“</w:t>
            </w:r>
            <w:r>
              <w:rPr>
                <w:rFonts w:hint="default" w:ascii="Times New Roman" w:hAnsi="Times New Roman" w:eastAsia="仿宋_GB2312" w:cs="Times New Roman"/>
                <w:b w:val="0"/>
                <w:bCs w:val="0"/>
                <w:color w:val="auto"/>
                <w:kern w:val="0"/>
                <w:sz w:val="30"/>
                <w:szCs w:val="30"/>
                <w:lang w:val="en-US" w:eastAsia="zh-CN" w:bidi="ar"/>
              </w:rPr>
              <w:t>一河两岸</w:t>
            </w:r>
            <w:r>
              <w:rPr>
                <w:rFonts w:hint="eastAsia" w:ascii="Times New Roman" w:hAnsi="Times New Roman" w:eastAsia="仿宋_GB2312" w:cs="Times New Roman"/>
                <w:b w:val="0"/>
                <w:bCs w:val="0"/>
                <w:color w:val="auto"/>
                <w:kern w:val="0"/>
                <w:sz w:val="30"/>
                <w:szCs w:val="30"/>
                <w:vertAlign w:val="baseline"/>
                <w:lang w:val="en-US" w:eastAsia="zh-CN" w:bidi="ar"/>
              </w:rPr>
              <w:t>”</w:t>
            </w:r>
            <w:r>
              <w:rPr>
                <w:rFonts w:hint="default" w:ascii="Times New Roman" w:hAnsi="Times New Roman" w:eastAsia="仿宋_GB2312" w:cs="Times New Roman"/>
                <w:b w:val="0"/>
                <w:bCs w:val="0"/>
                <w:color w:val="auto"/>
                <w:kern w:val="0"/>
                <w:sz w:val="30"/>
                <w:szCs w:val="30"/>
                <w:vertAlign w:val="baseline"/>
                <w:lang w:val="en-US" w:eastAsia="zh-CN" w:bidi="ar"/>
              </w:rPr>
              <w:t>水环境综合治理项目、</w:t>
            </w:r>
            <w:r>
              <w:rPr>
                <w:rFonts w:hint="eastAsia" w:ascii="Times New Roman" w:hAnsi="Times New Roman" w:eastAsia="仿宋_GB2312" w:cs="Times New Roman"/>
                <w:b w:val="0"/>
                <w:bCs w:val="0"/>
                <w:color w:val="auto"/>
                <w:kern w:val="0"/>
                <w:sz w:val="30"/>
                <w:szCs w:val="30"/>
                <w:lang w:val="en-US" w:eastAsia="zh-CN" w:bidi="ar"/>
              </w:rPr>
              <w:t>北洪港和龙潭河小流域治理试点项目、</w:t>
            </w:r>
            <w:r>
              <w:rPr>
                <w:rFonts w:hint="default" w:ascii="Times New Roman" w:hAnsi="Times New Roman" w:eastAsia="仿宋_GB2312" w:cs="Times New Roman"/>
                <w:b w:val="0"/>
                <w:bCs w:val="0"/>
                <w:color w:val="auto"/>
                <w:kern w:val="0"/>
                <w:sz w:val="30"/>
                <w:szCs w:val="30"/>
                <w:lang w:bidi="ar"/>
              </w:rPr>
              <w:t>咸安区章家湖湖泊综合治理试点</w:t>
            </w:r>
            <w:r>
              <w:rPr>
                <w:rFonts w:hint="default" w:ascii="Times New Roman" w:hAnsi="Times New Roman" w:eastAsia="仿宋_GB2312" w:cs="Times New Roman"/>
                <w:b w:val="0"/>
                <w:bCs w:val="0"/>
                <w:color w:val="auto"/>
                <w:kern w:val="0"/>
                <w:sz w:val="30"/>
                <w:szCs w:val="30"/>
                <w:lang w:val="en-US" w:eastAsia="zh-CN" w:bidi="ar"/>
              </w:rPr>
              <w:t>项目</w:t>
            </w:r>
            <w:r>
              <w:rPr>
                <w:rFonts w:hint="default" w:ascii="Times New Roman" w:hAnsi="Times New Roman" w:eastAsia="仿宋_GB2312" w:cs="Times New Roman"/>
                <w:b w:val="0"/>
                <w:bCs w:val="0"/>
                <w:color w:val="auto"/>
                <w:kern w:val="0"/>
                <w:sz w:val="30"/>
                <w:szCs w:val="30"/>
                <w:lang w:eastAsia="zh-CN" w:bidi="ar"/>
              </w:rPr>
              <w:t>、</w:t>
            </w:r>
            <w:r>
              <w:rPr>
                <w:rFonts w:hint="default" w:ascii="Times New Roman" w:hAnsi="Times New Roman" w:eastAsia="仿宋_GB2312" w:cs="Times New Roman"/>
                <w:b w:val="0"/>
                <w:bCs w:val="0"/>
                <w:color w:val="auto"/>
                <w:kern w:val="0"/>
                <w:sz w:val="30"/>
                <w:szCs w:val="30"/>
                <w:lang w:bidi="ar"/>
              </w:rPr>
              <w:t>湖北省淦河母亲河复苏行动“一河（湖）一策”项目</w:t>
            </w:r>
            <w:r>
              <w:rPr>
                <w:rFonts w:hint="default" w:ascii="Times New Roman" w:hAnsi="Times New Roman" w:eastAsia="仿宋_GB2312" w:cs="Times New Roman"/>
                <w:b w:val="0"/>
                <w:bCs w:val="0"/>
                <w:color w:val="auto"/>
                <w:kern w:val="0"/>
                <w:sz w:val="30"/>
                <w:szCs w:val="30"/>
                <w:lang w:eastAsia="zh-CN" w:bidi="ar"/>
              </w:rPr>
              <w:t>。</w:t>
            </w:r>
          </w:p>
          <w:p w14:paraId="2F6D660A">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color w:val="auto"/>
                <w:kern w:val="0"/>
                <w:sz w:val="32"/>
                <w:szCs w:val="32"/>
                <w:vertAlign w:val="baseline"/>
                <w:lang w:val="en-US" w:eastAsia="zh-CN" w:bidi="ar"/>
              </w:rPr>
            </w:pPr>
            <w:r>
              <w:rPr>
                <w:rFonts w:hint="default" w:ascii="Times New Roman" w:hAnsi="Times New Roman" w:eastAsia="仿宋_GB2312" w:cs="Times New Roman"/>
                <w:b/>
                <w:bCs/>
                <w:color w:val="auto"/>
                <w:kern w:val="0"/>
                <w:sz w:val="30"/>
                <w:szCs w:val="30"/>
                <w:vertAlign w:val="baseline"/>
                <w:lang w:val="en-US" w:eastAsia="zh-CN" w:bidi="ar"/>
              </w:rPr>
              <w:t>生态安全项目。</w:t>
            </w:r>
            <w:r>
              <w:rPr>
                <w:rFonts w:hint="default" w:ascii="Times New Roman" w:hAnsi="Times New Roman" w:eastAsia="仿宋_GB2312" w:cs="Times New Roman"/>
                <w:b w:val="0"/>
                <w:bCs w:val="0"/>
                <w:color w:val="auto"/>
                <w:kern w:val="0"/>
                <w:sz w:val="30"/>
                <w:szCs w:val="30"/>
                <w:lang w:val="en-US" w:eastAsia="zh-CN" w:bidi="ar"/>
              </w:rPr>
              <w:t>淦河“百里画廊”建设</w:t>
            </w:r>
            <w:r>
              <w:rPr>
                <w:rFonts w:hint="eastAsia" w:ascii="Times New Roman" w:hAnsi="Times New Roman" w:eastAsia="仿宋_GB2312" w:cs="Times New Roman"/>
                <w:b w:val="0"/>
                <w:bCs w:val="0"/>
                <w:color w:val="auto"/>
                <w:kern w:val="0"/>
                <w:sz w:val="30"/>
                <w:szCs w:val="30"/>
                <w:lang w:val="en-US" w:eastAsia="zh-CN" w:bidi="ar"/>
              </w:rPr>
              <w:t>项目、</w:t>
            </w:r>
            <w:r>
              <w:rPr>
                <w:rFonts w:hint="default" w:ascii="Times New Roman" w:hAnsi="Times New Roman" w:eastAsia="仿宋_GB2312" w:cs="Times New Roman"/>
                <w:b w:val="0"/>
                <w:bCs w:val="0"/>
                <w:color w:val="auto"/>
                <w:kern w:val="0"/>
                <w:sz w:val="30"/>
                <w:szCs w:val="30"/>
                <w:lang w:val="en-US" w:eastAsia="zh-CN" w:bidi="ar"/>
              </w:rPr>
              <w:t>向阳湖国家湿地公园湿地保护与恢复项目、斧头湖水环境生态治理修复项目、西凉湖水环境生态治理修复项目、双溪桥镇矿山生态修复项目、汀泗桥镇矿山生态修复项目、桂花镇矿山生态修复项目。</w:t>
            </w:r>
          </w:p>
        </w:tc>
      </w:tr>
    </w:tbl>
    <w:p w14:paraId="55BA0398">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楷体_GB2312" w:hAnsi="楷体_GB2312" w:eastAsia="楷体_GB2312" w:cs="楷体_GB2312"/>
          <w:color w:val="auto"/>
          <w:lang w:val="en-US" w:eastAsia="zh-CN"/>
        </w:rPr>
      </w:pPr>
      <w:bookmarkStart w:id="110" w:name="_Toc15631"/>
      <w:bookmarkStart w:id="111" w:name="_Toc2262"/>
      <w:r>
        <w:rPr>
          <w:rFonts w:hint="default" w:ascii="楷体_GB2312" w:hAnsi="楷体_GB2312" w:eastAsia="楷体_GB2312" w:cs="楷体_GB2312"/>
          <w:color w:val="auto"/>
          <w:lang w:val="en-US" w:eastAsia="zh-CN"/>
        </w:rPr>
        <w:t>（三）推进新型工业化，筑牢高质量发展底盘</w:t>
      </w:r>
      <w:bookmarkEnd w:id="110"/>
      <w:bookmarkEnd w:id="111"/>
    </w:p>
    <w:p w14:paraId="6D5600C2">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kern w:val="0"/>
          <w:sz w:val="32"/>
          <w:szCs w:val="32"/>
          <w:lang w:val="en-US" w:eastAsia="zh-CN" w:bidi="ar"/>
        </w:rPr>
        <w:t>持续提升科技支撑能力，提升汽车零部件、生物医药产业能级，打造两大百亿产业，培育电子信息产业，鼓励引导企业向产业链、价值链中高端迈进。加快推动机电、森工、纺织、橡胶四大传统产业转型升级。</w:t>
      </w:r>
      <w:r>
        <w:rPr>
          <w:rFonts w:hint="eastAsia" w:ascii="仿宋_GB2312" w:hAnsi="仿宋_GB2312" w:eastAsia="仿宋_GB2312" w:cs="仿宋_GB2312"/>
          <w:color w:val="auto"/>
          <w:kern w:val="0"/>
          <w:sz w:val="32"/>
          <w:szCs w:val="32"/>
          <w:highlight w:val="none"/>
          <w:lang w:val="en-US" w:eastAsia="zh-CN" w:bidi="ar"/>
        </w:rPr>
        <w:t>到2025年，</w:t>
      </w:r>
      <w:r>
        <w:rPr>
          <w:rFonts w:hint="eastAsia" w:ascii="仿宋_GB2312" w:hAnsi="仿宋_GB2312" w:eastAsia="仿宋_GB2312" w:cs="仿宋_GB2312"/>
          <w:color w:val="auto"/>
          <w:kern w:val="0"/>
          <w:sz w:val="32"/>
          <w:szCs w:val="32"/>
          <w:lang w:val="en-US" w:eastAsia="zh-CN" w:bidi="ar"/>
        </w:rPr>
        <w:t>全区规模以上工业企业达到200家，工业增加值年均增长8.5%，工业总产值达到300亿元，工业技改投资占工业投资的40%以上</w:t>
      </w:r>
      <w:r>
        <w:rPr>
          <w:rFonts w:hint="eastAsia" w:ascii="仿宋_GB2312" w:hAnsi="仿宋_GB2312" w:eastAsia="仿宋_GB2312" w:cs="仿宋_GB2312"/>
          <w:color w:val="auto"/>
          <w:sz w:val="32"/>
          <w:szCs w:val="32"/>
          <w:lang w:eastAsia="zh-CN"/>
        </w:rPr>
        <w:t>。</w:t>
      </w:r>
    </w:p>
    <w:p w14:paraId="7901720E">
      <w:pPr>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en-US" w:eastAsia="zh-CN"/>
        </w:rPr>
        <w:t>1</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color w:val="auto"/>
          <w:sz w:val="32"/>
          <w:szCs w:val="32"/>
          <w:lang w:val="en-US" w:eastAsia="zh-CN"/>
        </w:rPr>
        <w:t>推进高水平科技自立自强</w:t>
      </w:r>
    </w:p>
    <w:p w14:paraId="4D87459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提升科创平台产业支撑作用。</w:t>
      </w:r>
      <w:r>
        <w:rPr>
          <w:rFonts w:hint="eastAsia" w:ascii="仿宋_GB2312" w:hAnsi="仿宋_GB2312" w:eastAsia="仿宋_GB2312" w:cs="仿宋_GB2312"/>
          <w:b w:val="0"/>
          <w:bCs w:val="0"/>
          <w:color w:val="auto"/>
          <w:sz w:val="32"/>
          <w:szCs w:val="32"/>
          <w:lang w:val="en-US" w:eastAsia="zh-CN"/>
        </w:rPr>
        <w:t>以成功创建省级创新型县（市、区）为新起点，建好运营好凤凰科创园、咸安（武汉）离岸科创园、咸安东湖高新产业园，打造3.0版产业园区。加强武咸科技协同，聚焦主导产业建设产业技术创新平台，做强做实华宁防腐耐磨研究院、康健医药研究院等研发平台，支持华宁、雄志、中港金属、敏实等企业申报“光谷大走廊”项目。推动大数据、工业互联网、工业物联网等技术在“桂竹麻茶”、生物医药、电子信息等产业中的应用，打造一批两化融合和智能制造示范标杆项目，树立一批示范企业，推动贯标工作由试点推广向全面普及转变。</w:t>
      </w:r>
    </w:p>
    <w:p w14:paraId="5205246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b/>
          <w:bCs/>
          <w:color w:val="auto"/>
          <w:sz w:val="32"/>
          <w:szCs w:val="32"/>
          <w:lang w:eastAsia="zh-CN"/>
        </w:rPr>
        <w:t>强化企业创新主体地位。</w:t>
      </w:r>
      <w:r>
        <w:rPr>
          <w:rFonts w:hint="eastAsia" w:ascii="仿宋_GB2312" w:hAnsi="仿宋_GB2312" w:eastAsia="仿宋_GB2312" w:cs="仿宋_GB2312"/>
          <w:color w:val="auto"/>
          <w:sz w:val="32"/>
          <w:szCs w:val="32"/>
          <w:lang w:eastAsia="zh-CN"/>
        </w:rPr>
        <w:t>培育高新技术企业和科技型中小企业，培育以专精特新企业、制造业单项冠军企业产业链领航企业为代表的优质企业，构建制造业优质企业梯度培育格局。到</w:t>
      </w:r>
      <w:r>
        <w:rPr>
          <w:rFonts w:hint="eastAsia" w:ascii="仿宋_GB2312" w:hAnsi="仿宋_GB2312" w:eastAsia="仿宋_GB2312" w:cs="仿宋_GB2312"/>
          <w:color w:val="auto"/>
          <w:lang w:eastAsia="zh-CN"/>
        </w:rPr>
        <w:t>2025</w:t>
      </w:r>
      <w:r>
        <w:rPr>
          <w:rFonts w:hint="eastAsia" w:ascii="仿宋_GB2312" w:hAnsi="仿宋_GB2312" w:eastAsia="仿宋_GB2312" w:cs="仿宋_GB2312"/>
          <w:color w:val="auto"/>
          <w:sz w:val="32"/>
          <w:szCs w:val="32"/>
          <w:lang w:eastAsia="zh-CN"/>
        </w:rPr>
        <w:t>年省级及以上专精特新企业达到50家，新增突破关键核心技术1项。新增省级制造业单项冠军示范企业5家、省级制造业单项冠军示范企业（产品）培育10家，新增市级制造业单项冠军示范企业（产品）12家。新增国家级</w:t>
      </w:r>
      <w:bookmarkStart w:id="191" w:name="_GoBack"/>
      <w:bookmarkEnd w:id="191"/>
      <w:r>
        <w:rPr>
          <w:rFonts w:hint="eastAsia" w:ascii="仿宋_GB2312" w:hAnsi="仿宋_GB2312" w:eastAsia="仿宋_GB2312" w:cs="仿宋_GB2312"/>
          <w:color w:val="auto"/>
          <w:sz w:val="32"/>
          <w:szCs w:val="32"/>
          <w:lang w:eastAsia="zh-CN"/>
        </w:rPr>
        <w:t>专精特新“小巨人”6家，新增省级专精特新中小企业45家。</w:t>
      </w:r>
      <w:r>
        <w:rPr>
          <w:rFonts w:hint="eastAsia" w:ascii="仿宋_GB2312" w:hAnsi="仿宋_GB2312" w:eastAsia="仿宋_GB2312" w:cs="仿宋_GB2312"/>
          <w:b w:val="0"/>
          <w:color w:val="auto"/>
          <w:sz w:val="32"/>
          <w:szCs w:val="32"/>
        </w:rPr>
        <w:t>力争全社会研发投入占GDP比重提升到2.5%以上，高</w:t>
      </w:r>
      <w:r>
        <w:rPr>
          <w:rFonts w:hint="default" w:ascii="Times New Roman" w:hAnsi="Times New Roman" w:eastAsia="仿宋_GB2312" w:cs="Times New Roman"/>
          <w:b w:val="0"/>
          <w:color w:val="auto"/>
          <w:sz w:val="32"/>
          <w:szCs w:val="32"/>
        </w:rPr>
        <w:t>新技术</w:t>
      </w:r>
      <w:r>
        <w:rPr>
          <w:rFonts w:hint="eastAsia" w:ascii="仿宋_GB2312" w:hAnsi="仿宋_GB2312" w:eastAsia="仿宋_GB2312" w:cs="仿宋_GB2312"/>
          <w:b w:val="0"/>
          <w:color w:val="auto"/>
          <w:sz w:val="32"/>
          <w:szCs w:val="32"/>
        </w:rPr>
        <w:t>企业超过150家</w:t>
      </w:r>
      <w:r>
        <w:rPr>
          <w:rFonts w:hint="eastAsia" w:ascii="仿宋_GB2312" w:hAnsi="仿宋_GB2312" w:eastAsia="仿宋_GB2312" w:cs="仿宋_GB2312"/>
          <w:color w:val="auto"/>
          <w:sz w:val="32"/>
          <w:szCs w:val="32"/>
          <w:lang w:eastAsia="zh-CN"/>
        </w:rPr>
        <w:t>，高新技术产业增加值占GDP比重提升到23%以上。</w:t>
      </w:r>
    </w:p>
    <w:p w14:paraId="5B6FB71A">
      <w:pPr>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en-US" w:eastAsia="zh-CN"/>
        </w:rPr>
        <w:t>2</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color w:val="auto"/>
          <w:sz w:val="32"/>
          <w:szCs w:val="32"/>
          <w:lang w:val="en-US" w:eastAsia="zh-CN"/>
        </w:rPr>
        <w:t>培育壮大新兴产业</w:t>
      </w:r>
    </w:p>
    <w:p w14:paraId="1B77243A">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sz w:val="32"/>
          <w:szCs w:val="32"/>
          <w:lang w:eastAsia="zh-CN"/>
        </w:rPr>
        <w:t>做大做强生物医药、汽车零部件、</w:t>
      </w:r>
      <w:r>
        <w:rPr>
          <w:rFonts w:hint="default" w:ascii="Times New Roman" w:hAnsi="Times New Roman" w:eastAsia="仿宋_GB2312" w:cs="Times New Roman"/>
          <w:color w:val="auto"/>
          <w:sz w:val="32"/>
          <w:szCs w:val="32"/>
          <w:lang w:val="en-US" w:eastAsia="zh-CN"/>
        </w:rPr>
        <w:t>电子信息等新兴</w:t>
      </w:r>
      <w:r>
        <w:rPr>
          <w:rFonts w:hint="default" w:ascii="Times New Roman" w:hAnsi="Times New Roman" w:eastAsia="仿宋_GB2312" w:cs="Times New Roman"/>
          <w:color w:val="auto"/>
          <w:sz w:val="32"/>
          <w:szCs w:val="32"/>
          <w:lang w:eastAsia="zh-CN"/>
        </w:rPr>
        <w:t>产业，</w:t>
      </w:r>
      <w:r>
        <w:rPr>
          <w:rFonts w:hint="default" w:ascii="Times New Roman" w:hAnsi="Times New Roman" w:eastAsia="仿宋_GB2312" w:cs="Times New Roman"/>
          <w:color w:val="auto"/>
          <w:sz w:val="32"/>
          <w:szCs w:val="32"/>
          <w:lang w:val="en-US" w:eastAsia="zh-CN"/>
        </w:rPr>
        <w:t>构建上下游联动全产业链条，</w:t>
      </w:r>
      <w:r>
        <w:rPr>
          <w:rFonts w:hint="default" w:ascii="Times New Roman" w:hAnsi="Times New Roman" w:eastAsia="仿宋_GB2312" w:cs="Times New Roman"/>
          <w:color w:val="auto"/>
          <w:sz w:val="32"/>
          <w:szCs w:val="32"/>
          <w:lang w:eastAsia="zh-CN"/>
        </w:rPr>
        <w:t>打造承接武汉产业转移的新高地。</w:t>
      </w:r>
      <w:r>
        <w:rPr>
          <w:rFonts w:hint="default" w:ascii="Times New Roman" w:hAnsi="Times New Roman" w:eastAsia="仿宋_GB2312" w:cs="Times New Roman"/>
          <w:b/>
          <w:bCs/>
          <w:color w:val="auto"/>
          <w:kern w:val="0"/>
          <w:sz w:val="32"/>
          <w:szCs w:val="32"/>
          <w:lang w:val="en-US" w:eastAsia="zh-CN" w:bidi="ar"/>
        </w:rPr>
        <w:t>推进生物医药产业融合发展，</w:t>
      </w:r>
      <w:r>
        <w:rPr>
          <w:rFonts w:hint="default" w:ascii="Times New Roman" w:hAnsi="Times New Roman" w:eastAsia="仿宋_GB2312" w:cs="Times New Roman"/>
          <w:color w:val="auto"/>
          <w:kern w:val="0"/>
          <w:sz w:val="32"/>
          <w:szCs w:val="32"/>
          <w:lang w:val="en-US" w:eastAsia="zh-CN" w:bidi="ar"/>
        </w:rPr>
        <w:t>推进生物医药、医疗设备产业与健康服务、养老服务等产业融合，培育中药制剂、医疗器械、药妆等产业，壮大真奥药业、健翔生物、科莱维生物等骨干企业，打造百亿生物医药产业集群。</w:t>
      </w:r>
      <w:r>
        <w:rPr>
          <w:rFonts w:hint="default" w:ascii="Times New Roman" w:hAnsi="Times New Roman" w:eastAsia="仿宋_GB2312" w:cs="Times New Roman"/>
          <w:b/>
          <w:bCs/>
          <w:color w:val="auto"/>
          <w:kern w:val="0"/>
          <w:sz w:val="32"/>
          <w:szCs w:val="32"/>
          <w:lang w:val="en-US" w:eastAsia="zh-CN" w:bidi="ar"/>
        </w:rPr>
        <w:t>推进汽车零部件产业规模发展，</w:t>
      </w:r>
      <w:r>
        <w:rPr>
          <w:rFonts w:hint="default" w:ascii="Times New Roman" w:hAnsi="Times New Roman" w:eastAsia="仿宋_GB2312" w:cs="Times New Roman"/>
          <w:color w:val="auto"/>
          <w:kern w:val="0"/>
          <w:sz w:val="32"/>
          <w:szCs w:val="32"/>
          <w:lang w:val="en-US" w:eastAsia="zh-CN" w:bidi="ar"/>
        </w:rPr>
        <w:t>壮大敏</w:t>
      </w:r>
      <w:r>
        <w:rPr>
          <w:rFonts w:hint="eastAsia" w:ascii="仿宋_GB2312" w:hAnsi="仿宋_GB2312" w:eastAsia="仿宋_GB2312" w:cs="仿宋_GB2312"/>
          <w:color w:val="auto"/>
          <w:kern w:val="0"/>
          <w:sz w:val="32"/>
          <w:szCs w:val="32"/>
          <w:lang w:val="en-US" w:eastAsia="zh-CN" w:bidi="ar"/>
        </w:rPr>
        <w:t>实、精确新能源、华劲铝业、洪盛模具等骨干企业，推进动力总成、先进汽车电子、轻量化材料、模块化开发等关键技术研发应用，突破“大三电”“小</w:t>
      </w:r>
      <w:r>
        <w:rPr>
          <w:rFonts w:hint="default" w:ascii="Times New Roman" w:hAnsi="Times New Roman" w:eastAsia="仿宋_GB2312" w:cs="Times New Roman"/>
          <w:color w:val="auto"/>
          <w:kern w:val="0"/>
          <w:sz w:val="32"/>
          <w:szCs w:val="32"/>
          <w:lang w:val="en-US" w:eastAsia="zh-CN" w:bidi="ar"/>
        </w:rPr>
        <w:t>三电</w:t>
      </w:r>
      <w:r>
        <w:rPr>
          <w:rFonts w:hint="eastAsia" w:ascii="仿宋_GB2312" w:hAnsi="仿宋_GB2312" w:eastAsia="仿宋_GB2312" w:cs="仿宋_GB2312"/>
          <w:color w:val="auto"/>
          <w:kern w:val="0"/>
          <w:sz w:val="32"/>
          <w:szCs w:val="32"/>
          <w:lang w:val="en-US" w:eastAsia="zh-CN" w:bidi="ar"/>
        </w:rPr>
        <w:t>”等</w:t>
      </w:r>
      <w:r>
        <w:rPr>
          <w:rFonts w:hint="default" w:ascii="Times New Roman" w:hAnsi="Times New Roman" w:eastAsia="仿宋_GB2312" w:cs="Times New Roman"/>
          <w:color w:val="auto"/>
          <w:kern w:val="0"/>
          <w:sz w:val="32"/>
          <w:szCs w:val="32"/>
          <w:lang w:val="en-US" w:eastAsia="zh-CN" w:bidi="ar"/>
        </w:rPr>
        <w:t>新能源汽车核心技术瓶颈。</w:t>
      </w:r>
      <w:r>
        <w:rPr>
          <w:rFonts w:hint="default" w:ascii="Times New Roman" w:hAnsi="Times New Roman" w:eastAsia="仿宋_GB2312" w:cs="Times New Roman"/>
          <w:b/>
          <w:bCs/>
          <w:color w:val="auto"/>
          <w:kern w:val="0"/>
          <w:sz w:val="32"/>
          <w:szCs w:val="32"/>
          <w:lang w:val="en-US" w:eastAsia="zh-CN" w:bidi="ar"/>
        </w:rPr>
        <w:t>壮大电子信息产业，</w:t>
      </w:r>
      <w:r>
        <w:rPr>
          <w:rFonts w:hint="default" w:ascii="Times New Roman" w:hAnsi="Times New Roman" w:eastAsia="仿宋_GB2312" w:cs="Times New Roman"/>
          <w:color w:val="auto"/>
          <w:kern w:val="0"/>
          <w:sz w:val="32"/>
          <w:szCs w:val="32"/>
          <w:lang w:val="en-US" w:eastAsia="zh-CN" w:bidi="ar"/>
        </w:rPr>
        <w:t>推进新型电子线路隔膜、光电传输线束、智能终端、电子材料、柔性电路板、软件和信息技术服务等重点领域的核心材料及关键设备研究与开发，加快电子信息产业向新兴领域、零部件及配套产业全产业链拓展，支持捷优信达、御鼎新材料、云庆电子、奕欣精密制造、金湛电子等企业发展光电子器件、新型液晶、量</w:t>
      </w:r>
      <w:r>
        <w:rPr>
          <w:rFonts w:hint="eastAsia" w:ascii="仿宋_GB2312" w:hAnsi="仿宋_GB2312" w:eastAsia="仿宋_GB2312" w:cs="仿宋_GB2312"/>
          <w:color w:val="auto"/>
          <w:kern w:val="0"/>
          <w:sz w:val="32"/>
          <w:szCs w:val="32"/>
          <w:lang w:val="en-US" w:eastAsia="zh-CN" w:bidi="ar"/>
        </w:rPr>
        <w:t>子点CSP背光源等新</w:t>
      </w:r>
      <w:r>
        <w:rPr>
          <w:rFonts w:hint="default" w:ascii="Times New Roman" w:hAnsi="Times New Roman" w:eastAsia="仿宋_GB2312" w:cs="Times New Roman"/>
          <w:color w:val="auto"/>
          <w:kern w:val="0"/>
          <w:sz w:val="32"/>
          <w:szCs w:val="32"/>
          <w:lang w:val="en-US" w:eastAsia="zh-CN" w:bidi="ar"/>
        </w:rPr>
        <w:t>技术新产品。</w:t>
      </w:r>
    </w:p>
    <w:p w14:paraId="662D7889">
      <w:pPr>
        <w:pageBreakBefore w:val="0"/>
        <w:widowControl w:val="0"/>
        <w:kinsoku/>
        <w:wordWrap/>
        <w:overflowPunct/>
        <w:topLinePunct w:val="0"/>
        <w:autoSpaceDE/>
        <w:autoSpaceDN/>
        <w:bidi w:val="0"/>
        <w:adjustRightInd w:val="0"/>
        <w:snapToGrid w:val="0"/>
        <w:spacing w:line="560" w:lineRule="exact"/>
        <w:textAlignment w:val="auto"/>
        <w:outlineLvl w:val="2"/>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lang w:val="en-US" w:eastAsia="zh-CN"/>
        </w:rPr>
        <w:t>3</w:t>
      </w:r>
      <w:r>
        <w:rPr>
          <w:rFonts w:hint="default" w:ascii="Times New Roman" w:hAnsi="Times New Roman" w:eastAsia="仿宋_GB2312" w:cs="Times New Roman"/>
          <w:color w:val="auto"/>
          <w:lang w:val="en-US" w:eastAsia="zh-CN"/>
        </w:rPr>
        <w:t xml:space="preserve">. </w:t>
      </w:r>
      <w:r>
        <w:rPr>
          <w:rFonts w:hint="default" w:ascii="Times New Roman" w:hAnsi="Times New Roman" w:eastAsia="仿宋_GB2312" w:cs="Times New Roman"/>
          <w:b/>
          <w:color w:val="auto"/>
          <w:sz w:val="32"/>
          <w:szCs w:val="32"/>
          <w:lang w:val="en-US" w:eastAsia="zh-CN"/>
        </w:rPr>
        <w:t>推动传统产业改造升级</w:t>
      </w:r>
    </w:p>
    <w:p w14:paraId="04179110">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0"/>
          <w:sz w:val="32"/>
          <w:szCs w:val="32"/>
          <w:lang w:val="en-US" w:eastAsia="zh-CN" w:bidi="ar"/>
        </w:rPr>
        <w:t>提档升级传统产业。</w:t>
      </w:r>
      <w:r>
        <w:rPr>
          <w:rFonts w:hint="default" w:ascii="Times New Roman" w:hAnsi="Times New Roman" w:eastAsia="仿宋_GB2312" w:cs="Times New Roman"/>
          <w:b w:val="0"/>
          <w:bCs w:val="0"/>
          <w:color w:val="auto"/>
          <w:kern w:val="0"/>
          <w:sz w:val="32"/>
          <w:szCs w:val="32"/>
          <w:lang w:val="en-US" w:eastAsia="zh-CN" w:bidi="ar"/>
        </w:rPr>
        <w:t>围绕机电制造、苎麻纺织、现代森工三个全省</w:t>
      </w:r>
      <w:r>
        <w:rPr>
          <w:rFonts w:hint="eastAsia" w:ascii="仿宋_GB2312" w:hAnsi="仿宋_GB2312" w:eastAsia="仿宋_GB2312" w:cs="仿宋_GB2312"/>
          <w:b w:val="0"/>
          <w:bCs w:val="0"/>
          <w:color w:val="auto"/>
          <w:kern w:val="0"/>
          <w:sz w:val="32"/>
          <w:szCs w:val="32"/>
          <w:lang w:val="en-US" w:eastAsia="zh-CN" w:bidi="ar"/>
        </w:rPr>
        <w:t>重点成长型产业集群，深入实施“数字化、网络化、智能化、绿色化、安全化”技改工程，推进</w:t>
      </w:r>
      <w:r>
        <w:rPr>
          <w:rFonts w:hint="eastAsia" w:ascii="仿宋_GB2312" w:hAnsi="仿宋_GB2312" w:eastAsia="仿宋_GB2312" w:cs="仿宋_GB2312"/>
          <w:color w:val="auto"/>
          <w:sz w:val="32"/>
          <w:szCs w:val="32"/>
          <w:lang w:eastAsia="zh-CN"/>
        </w:rPr>
        <w:t>传统产业向高端化、绿色化、智能化转型升级。</w:t>
      </w:r>
      <w:r>
        <w:rPr>
          <w:rFonts w:hint="eastAsia" w:ascii="仿宋_GB2312" w:hAnsi="仿宋_GB2312" w:eastAsia="仿宋_GB2312" w:cs="仿宋_GB2312"/>
          <w:color w:val="auto"/>
          <w:kern w:val="0"/>
          <w:sz w:val="32"/>
          <w:szCs w:val="32"/>
          <w:lang w:val="en-US" w:eastAsia="zh-CN" w:bidi="ar"/>
        </w:rPr>
        <w:t>持续扩大智能机电产业集群国家级创新型试点影响力，对机电制造业进行技改支持，推</w:t>
      </w:r>
      <w:r>
        <w:rPr>
          <w:rFonts w:hint="default" w:ascii="Times New Roman" w:hAnsi="Times New Roman" w:eastAsia="仿宋_GB2312" w:cs="Times New Roman"/>
          <w:color w:val="auto"/>
          <w:kern w:val="0"/>
          <w:sz w:val="32"/>
          <w:szCs w:val="32"/>
          <w:lang w:val="en-US" w:eastAsia="zh-CN" w:bidi="ar"/>
        </w:rPr>
        <w:t>动变压器、机械、家电、铸锻件等产品转型升级，提高机电制造产业设计、制造和集成能力。</w:t>
      </w:r>
    </w:p>
    <w:p w14:paraId="4FCC9BA3">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提升园区平台集聚能力。</w:t>
      </w:r>
      <w:r>
        <w:rPr>
          <w:rFonts w:hint="default" w:ascii="Times New Roman" w:hAnsi="Times New Roman" w:eastAsia="仿宋_GB2312" w:cs="Times New Roman"/>
          <w:b w:val="0"/>
          <w:bCs w:val="0"/>
          <w:color w:val="auto"/>
          <w:kern w:val="0"/>
          <w:sz w:val="32"/>
          <w:szCs w:val="32"/>
          <w:lang w:val="en-US" w:eastAsia="zh-CN" w:bidi="ar"/>
        </w:rPr>
        <w:t>坚持“亩产论英雄”，提高产业园区投资建设强度。推进产业向咸安经济开发区集聚，重点布局发展汽车零部件、生物医药、电子信息等产业。充分利用咸安（武汉）离岸科创园等园区</w:t>
      </w:r>
      <w:r>
        <w:rPr>
          <w:rFonts w:hint="default" w:ascii="Times New Roman" w:hAnsi="Times New Roman" w:eastAsia="仿宋_GB2312" w:cs="Times New Roman"/>
          <w:color w:val="auto"/>
          <w:sz w:val="32"/>
          <w:szCs w:val="32"/>
          <w:lang w:val="en-US" w:eastAsia="zh-CN"/>
        </w:rPr>
        <w:t>，加快与武汉产业的承接配套，打造高效能产业平台。</w:t>
      </w:r>
      <w:r>
        <w:rPr>
          <w:rFonts w:hint="default" w:ascii="Times New Roman" w:hAnsi="Times New Roman" w:eastAsia="仿宋_GB2312" w:cs="Times New Roman"/>
          <w:b w:val="0"/>
          <w:bCs w:val="0"/>
          <w:color w:val="auto"/>
          <w:sz w:val="32"/>
          <w:szCs w:val="32"/>
          <w:lang w:val="en-US" w:eastAsia="zh-CN"/>
        </w:rPr>
        <w:t>建设向阳湖文创产业聚集区，</w:t>
      </w:r>
      <w:r>
        <w:rPr>
          <w:rFonts w:hint="default" w:ascii="Times New Roman" w:hAnsi="Times New Roman" w:eastAsia="仿宋_GB2312" w:cs="Times New Roman"/>
          <w:color w:val="auto"/>
          <w:sz w:val="32"/>
          <w:szCs w:val="32"/>
          <w:lang w:val="en-US" w:eastAsia="zh-CN"/>
        </w:rPr>
        <w:t>统筹推进向阳湖文化名人博物馆建设、文化名人旧址修复等项目，</w:t>
      </w:r>
      <w:r>
        <w:rPr>
          <w:rFonts w:hint="default" w:ascii="Times New Roman" w:hAnsi="Times New Roman" w:eastAsia="仿宋_GB2312" w:cs="Times New Roman"/>
          <w:i w:val="0"/>
          <w:iCs w:val="0"/>
          <w:caps w:val="0"/>
          <w:color w:val="auto"/>
          <w:spacing w:val="0"/>
          <w:sz w:val="32"/>
          <w:szCs w:val="32"/>
          <w:shd w:val="clear"/>
          <w:lang w:eastAsia="zh-CN"/>
        </w:rPr>
        <w:t>开发艺术展览、</w:t>
      </w:r>
      <w:r>
        <w:rPr>
          <w:rFonts w:hint="default" w:ascii="Times New Roman" w:hAnsi="Times New Roman" w:eastAsia="仿宋_GB2312" w:cs="Times New Roman"/>
          <w:color w:val="auto"/>
          <w:sz w:val="32"/>
          <w:szCs w:val="32"/>
          <w:lang w:val="en-US" w:eastAsia="zh-CN"/>
        </w:rPr>
        <w:t>文化演艺、创意产品等业态，打造活力文化创意产业聚集平台。</w:t>
      </w:r>
      <w:r>
        <w:rPr>
          <w:rFonts w:hint="default" w:ascii="Times New Roman" w:hAnsi="Times New Roman" w:eastAsia="仿宋_GB2312" w:cs="Times New Roman"/>
          <w:color w:val="auto"/>
          <w:kern w:val="0"/>
          <w:sz w:val="32"/>
          <w:szCs w:val="32"/>
          <w:lang w:val="en-US" w:eastAsia="zh-CN" w:bidi="ar"/>
        </w:rPr>
        <w:t>发挥向阳湖现代农业科技示范园的示范引领作用，引进科技研发、加工物流、营销服务等市场主体，创建向阳湖国家现代农业产业园。加快推进华劲铝业、精确新能源、中港金属建材产业园等产业项目建设，推进凤凰新区产城一体化项目，打造数字产业园及再生资源示范基地。</w:t>
      </w:r>
    </w:p>
    <w:p w14:paraId="1A7C77ED">
      <w:pPr>
        <w:pageBreakBefore w:val="0"/>
        <w:widowControl w:val="0"/>
        <w:kinsoku/>
        <w:wordWrap/>
        <w:overflowPunct/>
        <w:topLinePunct w:val="0"/>
        <w:autoSpaceDE/>
        <w:autoSpaceDN/>
        <w:bidi w:val="0"/>
        <w:adjustRightInd w:val="0"/>
        <w:snapToGrid w:val="0"/>
        <w:spacing w:line="560" w:lineRule="exact"/>
        <w:textAlignment w:val="auto"/>
        <w:outlineLvl w:val="2"/>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lang w:val="en-US" w:eastAsia="zh-CN"/>
        </w:rPr>
        <w:t>4</w:t>
      </w:r>
      <w:r>
        <w:rPr>
          <w:rFonts w:hint="default" w:ascii="Times New Roman" w:hAnsi="Times New Roman" w:eastAsia="仿宋_GB2312" w:cs="Times New Roman"/>
          <w:color w:val="auto"/>
          <w:lang w:val="en-US" w:eastAsia="zh-CN"/>
        </w:rPr>
        <w:t xml:space="preserve">. </w:t>
      </w:r>
      <w:r>
        <w:rPr>
          <w:rFonts w:hint="default" w:ascii="Times New Roman" w:hAnsi="Times New Roman" w:eastAsia="仿宋_GB2312" w:cs="Times New Roman"/>
          <w:b/>
          <w:color w:val="auto"/>
          <w:sz w:val="32"/>
          <w:szCs w:val="32"/>
          <w:lang w:val="en-US" w:eastAsia="zh-CN"/>
        </w:rPr>
        <w:t>推进工业数字化绿色化升级</w:t>
      </w:r>
    </w:p>
    <w:p w14:paraId="5ADE9820">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推进工业数字化发展</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kern w:val="0"/>
          <w:sz w:val="32"/>
          <w:szCs w:val="32"/>
          <w:lang w:val="en-US" w:eastAsia="zh-CN" w:bidi="ar"/>
        </w:rPr>
        <w:t>持续完善工业互联网网络、平台、安全体系，加快建设跨行业、跨</w:t>
      </w:r>
      <w:r>
        <w:rPr>
          <w:rFonts w:hint="default" w:ascii="Times New Roman" w:hAnsi="Times New Roman" w:eastAsia="仿宋_GB2312" w:cs="Times New Roman"/>
          <w:color w:val="auto"/>
          <w:lang w:val="en-US" w:eastAsia="zh-CN"/>
        </w:rPr>
        <w:t>领域</w:t>
      </w:r>
      <w:r>
        <w:rPr>
          <w:rFonts w:hint="default" w:ascii="Times New Roman" w:hAnsi="Times New Roman" w:eastAsia="仿宋_GB2312" w:cs="Times New Roman"/>
          <w:color w:val="auto"/>
          <w:kern w:val="0"/>
          <w:sz w:val="32"/>
          <w:szCs w:val="32"/>
          <w:lang w:val="en-US" w:eastAsia="zh-CN" w:bidi="ar"/>
        </w:rPr>
        <w:t>工业互联网平台以及面向重点行业、区域和领域的特色专业型工业互联网平台。积极推动传统产业向智能制造转型，推广普及智能车间、智能工厂、数字化车间。推动工业企业数字化转型，发展网络化协同制造、个性化定制、远程运维服务、众包众创等新模式，推动工业企业向以制造为基础的产品、技术、服务等综合供应商转变。</w:t>
      </w:r>
    </w:p>
    <w:p w14:paraId="7420F719">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推进工业绿色发展。</w:t>
      </w:r>
      <w:r>
        <w:rPr>
          <w:rFonts w:hint="default" w:ascii="Times New Roman" w:hAnsi="Times New Roman" w:eastAsia="仿宋_GB2312" w:cs="Times New Roman"/>
          <w:color w:val="auto"/>
          <w:kern w:val="0"/>
          <w:sz w:val="32"/>
          <w:szCs w:val="32"/>
          <w:lang w:val="en-US" w:eastAsia="zh-CN" w:bidi="ar"/>
        </w:rPr>
        <w:t>以创建绿</w:t>
      </w:r>
      <w:r>
        <w:rPr>
          <w:rFonts w:hint="default" w:ascii="Times New Roman" w:hAnsi="Times New Roman" w:eastAsia="仿宋_GB2312" w:cs="Times New Roman"/>
          <w:b w:val="0"/>
          <w:bCs w:val="0"/>
          <w:color w:val="auto"/>
          <w:kern w:val="0"/>
          <w:sz w:val="32"/>
          <w:szCs w:val="32"/>
          <w:lang w:val="en-US" w:eastAsia="zh-CN" w:bidi="ar"/>
        </w:rPr>
        <w:t>色园区、绿色工厂和绿色供应链示范企业为抓手，完善绿色制造体系。创建绿色园区，推进咸安经济开发区园区环境工程设施建设。鼓励园区发展分布式光伏、分散式风电、多元储能、智慧能源管控等，推进多能高效互补利用，提高工业电气化水平。实施重点行业绿色化改造和碳达峰行动，加快传统产业绿色化升级改造，发展节能环保、循环利用等绿色产业。</w:t>
      </w:r>
      <w:r>
        <w:rPr>
          <w:rFonts w:hint="default" w:ascii="Times New Roman" w:hAnsi="Times New Roman" w:eastAsia="仿宋_GB2312" w:cs="Times New Roman"/>
          <w:b w:val="0"/>
          <w:bCs w:val="0"/>
          <w:color w:val="auto"/>
          <w:kern w:val="0"/>
          <w:sz w:val="32"/>
          <w:szCs w:val="32"/>
          <w:highlight w:val="none"/>
          <w:lang w:val="en-US" w:eastAsia="zh-CN" w:bidi="ar"/>
        </w:rPr>
        <w:t>发展餐厨垃圾利用等静脉产业，谋</w:t>
      </w:r>
      <w:r>
        <w:rPr>
          <w:rFonts w:hint="default" w:ascii="Times New Roman" w:hAnsi="Times New Roman" w:eastAsia="仿宋_GB2312" w:cs="Times New Roman"/>
          <w:b w:val="0"/>
          <w:bCs w:val="0"/>
          <w:color w:val="auto"/>
          <w:kern w:val="0"/>
          <w:sz w:val="32"/>
          <w:szCs w:val="32"/>
          <w:lang w:val="en-US" w:eastAsia="zh-CN" w:bidi="ar"/>
        </w:rPr>
        <w:t>划推进生活垃圾焚烧发电、建筑垃圾资源化处理</w:t>
      </w:r>
      <w:r>
        <w:rPr>
          <w:rFonts w:hint="eastAsia" w:ascii="仿宋_GB2312" w:hAnsi="仿宋_GB2312" w:eastAsia="仿宋_GB2312" w:cs="仿宋_GB2312"/>
          <w:b w:val="0"/>
          <w:bCs w:val="0"/>
          <w:color w:val="auto"/>
          <w:kern w:val="0"/>
          <w:sz w:val="32"/>
          <w:szCs w:val="32"/>
          <w:lang w:val="en-US" w:eastAsia="zh-CN" w:bidi="ar"/>
        </w:rPr>
        <w:t>利用、大件垃圾拆解处理等重点项目，打造咸安经济开发区再生资源示范基地。力争新增国家级绿色工厂3家，新增国家级“两化融合”贯标企业14家，新增“两化融合”试点示范企业14家。</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2910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5F5594B">
            <w:pPr>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仿宋_GB2312" w:cs="Times New Roman"/>
                <w:b w:val="0"/>
                <w:bCs w:val="0"/>
                <w:color w:val="auto"/>
                <w:kern w:val="0"/>
                <w:sz w:val="32"/>
                <w:szCs w:val="32"/>
                <w:vertAlign w:val="baseline"/>
                <w:lang w:val="en-US" w:eastAsia="zh-CN" w:bidi="ar"/>
              </w:rPr>
            </w:pPr>
            <w:r>
              <w:rPr>
                <w:rFonts w:hint="default" w:ascii="Times New Roman" w:hAnsi="Times New Roman" w:eastAsia="楷体_GB2312" w:cs="Times New Roman"/>
                <w:b/>
                <w:bCs/>
                <w:color w:val="auto"/>
                <w:kern w:val="0"/>
                <w:sz w:val="32"/>
                <w:szCs w:val="32"/>
                <w:vertAlign w:val="baseline"/>
                <w:lang w:val="en-US" w:eastAsia="zh-CN" w:bidi="ar"/>
              </w:rPr>
              <w:t>专栏3  新型工业化重大项目</w:t>
            </w:r>
          </w:p>
        </w:tc>
      </w:tr>
      <w:tr w14:paraId="2EDDC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FC7B583">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科技创新项目</w:t>
            </w:r>
            <w:r>
              <w:rPr>
                <w:rFonts w:hint="default" w:ascii="Times New Roman" w:hAnsi="Times New Roman" w:eastAsia="仿宋_GB2312" w:cs="Times New Roman"/>
                <w:b w:val="0"/>
                <w:bCs w:val="0"/>
                <w:color w:val="auto"/>
                <w:kern w:val="0"/>
                <w:sz w:val="30"/>
                <w:szCs w:val="30"/>
                <w:lang w:val="en-US" w:eastAsia="zh-CN" w:bidi="ar"/>
              </w:rPr>
              <w:t>。</w:t>
            </w:r>
            <w:r>
              <w:rPr>
                <w:rFonts w:hint="eastAsia" w:ascii="Times New Roman" w:hAnsi="Times New Roman" w:eastAsia="仿宋_GB2312" w:cs="Times New Roman"/>
                <w:b w:val="0"/>
                <w:bCs w:val="0"/>
                <w:color w:val="auto"/>
                <w:kern w:val="0"/>
                <w:sz w:val="30"/>
                <w:szCs w:val="30"/>
                <w:lang w:val="en-US" w:eastAsia="zh-CN" w:bidi="ar"/>
              </w:rPr>
              <w:t>凤凰科创园配套提升项目、咸安（武汉）离岸科创园配套提升项目、咸安东湖高新产业园配套提升项目，</w:t>
            </w:r>
            <w:r>
              <w:rPr>
                <w:rFonts w:hint="default" w:ascii="Times New Roman" w:hAnsi="Times New Roman" w:eastAsia="仿宋_GB2312" w:cs="Times New Roman"/>
                <w:b w:val="0"/>
                <w:bCs w:val="0"/>
                <w:color w:val="auto"/>
                <w:kern w:val="0"/>
                <w:sz w:val="30"/>
                <w:szCs w:val="30"/>
                <w:lang w:val="en-US" w:eastAsia="zh-CN" w:bidi="ar"/>
              </w:rPr>
              <w:t>华宁防腐耐磨研究院</w:t>
            </w:r>
            <w:r>
              <w:rPr>
                <w:rFonts w:hint="eastAsia" w:ascii="Times New Roman" w:hAnsi="Times New Roman" w:eastAsia="仿宋_GB2312" w:cs="Times New Roman"/>
                <w:b w:val="0"/>
                <w:bCs w:val="0"/>
                <w:color w:val="auto"/>
                <w:kern w:val="0"/>
                <w:sz w:val="30"/>
                <w:szCs w:val="30"/>
                <w:lang w:val="en-US" w:eastAsia="zh-CN" w:bidi="ar"/>
              </w:rPr>
              <w:t>配套提升项目、</w:t>
            </w:r>
            <w:r>
              <w:rPr>
                <w:rFonts w:hint="default" w:ascii="Times New Roman" w:hAnsi="Times New Roman" w:eastAsia="仿宋_GB2312" w:cs="Times New Roman"/>
                <w:b w:val="0"/>
                <w:bCs w:val="0"/>
                <w:color w:val="auto"/>
                <w:kern w:val="0"/>
                <w:sz w:val="30"/>
                <w:szCs w:val="30"/>
                <w:lang w:val="en-US" w:eastAsia="zh-CN" w:bidi="ar"/>
              </w:rPr>
              <w:t>康健医药研究院</w:t>
            </w:r>
            <w:r>
              <w:rPr>
                <w:rFonts w:hint="eastAsia" w:ascii="Times New Roman" w:hAnsi="Times New Roman" w:eastAsia="仿宋_GB2312" w:cs="Times New Roman"/>
                <w:b w:val="0"/>
                <w:bCs w:val="0"/>
                <w:color w:val="auto"/>
                <w:kern w:val="0"/>
                <w:sz w:val="30"/>
                <w:szCs w:val="30"/>
                <w:lang w:val="en-US" w:eastAsia="zh-CN" w:bidi="ar"/>
              </w:rPr>
              <w:t>配套提升项目。</w:t>
            </w:r>
          </w:p>
          <w:p w14:paraId="2E43FF9B">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新兴产业项目。</w:t>
            </w:r>
            <w:r>
              <w:rPr>
                <w:rFonts w:hint="default" w:ascii="Times New Roman" w:hAnsi="Times New Roman" w:eastAsia="仿宋_GB2312" w:cs="Times New Roman"/>
                <w:b w:val="0"/>
                <w:bCs w:val="0"/>
                <w:color w:val="auto"/>
                <w:kern w:val="0"/>
                <w:sz w:val="30"/>
                <w:szCs w:val="30"/>
                <w:lang w:val="en-US" w:eastAsia="zh-CN" w:bidi="ar"/>
              </w:rPr>
              <w:t>年产6万吨铝压铸汽车零部件项目、精确新能源</w:t>
            </w:r>
            <w:r>
              <w:rPr>
                <w:rFonts w:hint="eastAsia" w:ascii="Times New Roman" w:hAnsi="Times New Roman" w:eastAsia="仿宋_GB2312" w:cs="Times New Roman"/>
                <w:b w:val="0"/>
                <w:bCs w:val="0"/>
                <w:color w:val="auto"/>
                <w:kern w:val="0"/>
                <w:sz w:val="30"/>
                <w:szCs w:val="30"/>
                <w:lang w:val="en-US" w:eastAsia="zh-CN" w:bidi="ar"/>
              </w:rPr>
              <w:t>、健翔生物二期项目、凤凰新区产城一体化项目、</w:t>
            </w:r>
            <w:r>
              <w:rPr>
                <w:rFonts w:hint="default" w:ascii="Times New Roman" w:hAnsi="Times New Roman" w:eastAsia="仿宋_GB2312" w:cs="Times New Roman"/>
                <w:b w:val="0"/>
                <w:bCs w:val="0"/>
                <w:color w:val="auto"/>
                <w:kern w:val="0"/>
                <w:sz w:val="30"/>
                <w:szCs w:val="30"/>
                <w:lang w:val="en-US" w:eastAsia="zh-CN" w:bidi="ar"/>
              </w:rPr>
              <w:t>湖北舰海新兴材料股份有限公司防水</w:t>
            </w:r>
            <w:r>
              <w:rPr>
                <w:rFonts w:hint="eastAsia" w:ascii="Times New Roman" w:hAnsi="Times New Roman" w:eastAsia="仿宋_GB2312" w:cs="Times New Roman"/>
                <w:b w:val="0"/>
                <w:bCs w:val="0"/>
                <w:color w:val="auto"/>
                <w:kern w:val="0"/>
                <w:sz w:val="30"/>
                <w:szCs w:val="30"/>
                <w:lang w:val="en-US" w:eastAsia="zh-CN" w:bidi="ar"/>
              </w:rPr>
              <w:t>薄膜</w:t>
            </w:r>
            <w:r>
              <w:rPr>
                <w:rFonts w:hint="default" w:ascii="Times New Roman" w:hAnsi="Times New Roman" w:eastAsia="仿宋_GB2312" w:cs="Times New Roman"/>
                <w:b w:val="0"/>
                <w:bCs w:val="0"/>
                <w:color w:val="auto"/>
                <w:kern w:val="0"/>
                <w:sz w:val="30"/>
                <w:szCs w:val="30"/>
                <w:lang w:val="en-US" w:eastAsia="zh-CN" w:bidi="ar"/>
              </w:rPr>
              <w:t>扩建项目、</w:t>
            </w:r>
            <w:r>
              <w:rPr>
                <w:rFonts w:hint="default" w:ascii="Times New Roman" w:hAnsi="Times New Roman" w:eastAsia="仿宋_GB2312" w:cs="Times New Roman"/>
                <w:color w:val="auto"/>
                <w:kern w:val="0"/>
                <w:sz w:val="30"/>
                <w:szCs w:val="30"/>
                <w:lang w:val="en-US" w:eastAsia="zh-CN" w:bidi="ar"/>
              </w:rPr>
              <w:t>奋进机器人项目、欣途移动机器人生产项目、</w:t>
            </w:r>
            <w:r>
              <w:rPr>
                <w:rFonts w:hint="default" w:ascii="Times New Roman" w:hAnsi="Times New Roman" w:eastAsia="仿宋_GB2312" w:cs="Times New Roman"/>
                <w:b w:val="0"/>
                <w:bCs w:val="0"/>
                <w:color w:val="auto"/>
                <w:kern w:val="0"/>
                <w:sz w:val="30"/>
                <w:szCs w:val="30"/>
                <w:lang w:val="en-US" w:eastAsia="zh-CN" w:bidi="ar"/>
              </w:rPr>
              <w:t>智能制造综合产业园二期建设项目（敏实二期）、华劲新能源铝合金材料生产基地项目。</w:t>
            </w:r>
          </w:p>
          <w:p w14:paraId="3911402C">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传统产业改造升级项目。</w:t>
            </w:r>
            <w:r>
              <w:rPr>
                <w:rFonts w:hint="default" w:ascii="Times New Roman" w:hAnsi="Times New Roman" w:eastAsia="仿宋_GB2312" w:cs="Times New Roman"/>
                <w:b w:val="0"/>
                <w:bCs w:val="0"/>
                <w:color w:val="auto"/>
                <w:kern w:val="0"/>
                <w:sz w:val="30"/>
                <w:szCs w:val="30"/>
                <w:lang w:val="en-US" w:eastAsia="zh-CN" w:bidi="ar"/>
              </w:rPr>
              <w:t>咸安经济开发区天逸绿色苎麻高新产业园建设项目、</w:t>
            </w:r>
            <w:r>
              <w:rPr>
                <w:rFonts w:hint="eastAsia" w:ascii="Times New Roman" w:hAnsi="Times New Roman" w:eastAsia="仿宋_GB2312" w:cs="Times New Roman"/>
                <w:b w:val="0"/>
                <w:bCs w:val="0"/>
                <w:color w:val="auto"/>
                <w:kern w:val="0"/>
                <w:sz w:val="30"/>
                <w:szCs w:val="30"/>
                <w:lang w:val="en-US" w:eastAsia="zh-CN" w:bidi="ar"/>
              </w:rPr>
              <w:t>中港金属二期项目、</w:t>
            </w:r>
            <w:r>
              <w:rPr>
                <w:rFonts w:hint="default" w:ascii="Times New Roman" w:hAnsi="Times New Roman" w:eastAsia="仿宋_GB2312" w:cs="Times New Roman"/>
                <w:b w:val="0"/>
                <w:bCs w:val="0"/>
                <w:color w:val="auto"/>
                <w:kern w:val="0"/>
                <w:sz w:val="30"/>
                <w:szCs w:val="30"/>
                <w:lang w:val="en-US" w:eastAsia="zh-CN" w:bidi="ar"/>
              </w:rPr>
              <w:t>新恩祥机械项目。</w:t>
            </w:r>
          </w:p>
          <w:p w14:paraId="720124F1">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2"/>
                <w:szCs w:val="32"/>
                <w:vertAlign w:val="baseline"/>
                <w:lang w:val="en-US" w:eastAsia="zh-CN" w:bidi="ar"/>
              </w:rPr>
            </w:pPr>
            <w:r>
              <w:rPr>
                <w:rFonts w:hint="default" w:ascii="Times New Roman" w:hAnsi="Times New Roman" w:eastAsia="仿宋_GB2312" w:cs="Times New Roman"/>
                <w:b/>
                <w:bCs/>
                <w:color w:val="auto"/>
                <w:kern w:val="0"/>
                <w:sz w:val="30"/>
                <w:szCs w:val="30"/>
                <w:lang w:val="en-US" w:eastAsia="zh-CN" w:bidi="ar"/>
              </w:rPr>
              <w:t>工业数字化绿色化升级项目</w:t>
            </w:r>
            <w:r>
              <w:rPr>
                <w:rFonts w:hint="default" w:ascii="Times New Roman" w:hAnsi="Times New Roman" w:eastAsia="仿宋_GB2312" w:cs="Times New Roman"/>
                <w:b w:val="0"/>
                <w:bCs w:val="0"/>
                <w:color w:val="auto"/>
                <w:kern w:val="0"/>
                <w:sz w:val="30"/>
                <w:szCs w:val="30"/>
                <w:lang w:val="en-US" w:eastAsia="zh-CN" w:bidi="ar"/>
              </w:rPr>
              <w:t>。精华纺织集团高效全流程自动纺纱项目、咸安区资源循环利用建设项目。</w:t>
            </w:r>
          </w:p>
        </w:tc>
      </w:tr>
    </w:tbl>
    <w:p w14:paraId="2B7DF5F0">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楷体_GB2312" w:hAnsi="楷体_GB2312" w:eastAsia="楷体_GB2312" w:cs="楷体_GB2312"/>
          <w:color w:val="auto"/>
          <w:lang w:val="en-US" w:eastAsia="zh-CN"/>
        </w:rPr>
      </w:pPr>
      <w:bookmarkStart w:id="112" w:name="_Toc27905"/>
      <w:bookmarkStart w:id="113" w:name="_Toc16805"/>
      <w:r>
        <w:rPr>
          <w:rFonts w:hint="default" w:ascii="楷体_GB2312" w:hAnsi="楷体_GB2312" w:eastAsia="楷体_GB2312" w:cs="楷体_GB2312"/>
          <w:color w:val="auto"/>
          <w:lang w:val="en-US" w:eastAsia="zh-CN"/>
        </w:rPr>
        <w:t>（四）推进就地城镇化，打造“文明城市”首善之区</w:t>
      </w:r>
      <w:bookmarkEnd w:id="112"/>
      <w:bookmarkEnd w:id="113"/>
    </w:p>
    <w:p w14:paraId="1B50E969">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以中国桂花城建设为标识，以创建全国文明城市为牵引，提高城市功能品质，着力打造武汉都市圈自然生态公园城市。</w:t>
      </w:r>
    </w:p>
    <w:p w14:paraId="45B6D548">
      <w:pPr>
        <w:pageBreakBefore w:val="0"/>
        <w:widowControl w:val="0"/>
        <w:kinsoku/>
        <w:wordWrap/>
        <w:overflowPunct/>
        <w:topLinePunct w:val="0"/>
        <w:autoSpaceDE/>
        <w:autoSpaceDN/>
        <w:bidi w:val="0"/>
        <w:adjustRightInd w:val="0"/>
        <w:snapToGrid w:val="0"/>
        <w:spacing w:line="560" w:lineRule="exact"/>
        <w:textAlignment w:val="auto"/>
        <w:outlineLvl w:val="2"/>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lang w:val="en-US" w:eastAsia="zh-CN"/>
        </w:rPr>
        <w:t>1. 推进城市更新</w:t>
      </w:r>
    </w:p>
    <w:p w14:paraId="0C83F89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推进老旧小区改造、永安老城区改造，持续完善城市基础设施和公共服务设施，全面提升城市功能品质。推进“三老</w:t>
      </w:r>
      <w:r>
        <w:rPr>
          <w:rFonts w:hint="eastAsia" w:ascii="仿宋_GB2312" w:hAnsi="仿宋_GB2312" w:eastAsia="仿宋_GB2312" w:cs="仿宋_GB2312"/>
          <w:b w:val="0"/>
          <w:bCs w:val="0"/>
          <w:color w:val="auto"/>
          <w:kern w:val="0"/>
          <w:sz w:val="32"/>
          <w:szCs w:val="32"/>
          <w:lang w:val="en-US" w:eastAsia="zh-CN" w:bidi="ar"/>
        </w:rPr>
        <w:t>一村”</w:t>
      </w:r>
      <w:r>
        <w:rPr>
          <w:rStyle w:val="24"/>
          <w:rFonts w:hint="eastAsia" w:ascii="仿宋_GB2312" w:hAnsi="仿宋_GB2312" w:eastAsia="仿宋_GB2312" w:cs="仿宋_GB2312"/>
          <w:b w:val="0"/>
          <w:bCs w:val="0"/>
          <w:color w:val="auto"/>
          <w:kern w:val="0"/>
          <w:sz w:val="32"/>
          <w:szCs w:val="32"/>
          <w:lang w:val="en-US" w:eastAsia="zh-CN" w:bidi="ar"/>
        </w:rPr>
        <w:footnoteReference w:id="1"/>
      </w:r>
      <w:r>
        <w:rPr>
          <w:rFonts w:hint="eastAsia" w:ascii="仿宋_GB2312" w:hAnsi="仿宋_GB2312" w:eastAsia="仿宋_GB2312" w:cs="仿宋_GB2312"/>
          <w:b w:val="0"/>
          <w:bCs w:val="0"/>
          <w:color w:val="auto"/>
          <w:kern w:val="0"/>
          <w:sz w:val="32"/>
          <w:szCs w:val="32"/>
          <w:lang w:val="en-US" w:eastAsia="zh-CN" w:bidi="ar"/>
        </w:rPr>
        <w:t>改造，</w:t>
      </w:r>
      <w:r>
        <w:rPr>
          <w:rFonts w:hint="eastAsia" w:ascii="仿宋_GB2312" w:hAnsi="仿宋_GB2312" w:eastAsia="仿宋_GB2312" w:cs="仿宋_GB2312"/>
          <w:color w:val="auto"/>
          <w:kern w:val="0"/>
          <w:sz w:val="32"/>
          <w:szCs w:val="32"/>
          <w:lang w:val="en-US" w:eastAsia="zh-CN" w:bidi="ar"/>
        </w:rPr>
        <w:t>实施南大街片区城市更新、洞口片区开发建设、“一河两岸”城市更新、咸安经济开发区产城一体配套设施建设等项目，进一步改善城市居住环境。实施城区道路微循环整治工程，修补破损道路，加强道路施工管理，建设自行车道、步行道等慢行网络，让市民出行更顺畅。积极打造完整社区，建设15分钟便捷生活圈、15分钟基本医疗卫生服务圈、城市社区10分钟健身圈。塑造公园城市形态，推进城区小规模、渐进式“留白增绿”，实现“园中建城、城中有园、推窗见绿、出门见园”。打响以桂花为主题的城市公共品牌和城市标识，塑造“中国桂花城，华中康养区”城市文化品牌。</w:t>
      </w:r>
    </w:p>
    <w:p w14:paraId="226C3D43">
      <w:pPr>
        <w:pageBreakBefore w:val="0"/>
        <w:widowControl w:val="0"/>
        <w:kinsoku/>
        <w:wordWrap/>
        <w:overflowPunct/>
        <w:topLinePunct w:val="0"/>
        <w:autoSpaceDE/>
        <w:autoSpaceDN/>
        <w:bidi w:val="0"/>
        <w:adjustRightInd w:val="0"/>
        <w:snapToGrid w:val="0"/>
        <w:spacing w:line="560" w:lineRule="exact"/>
        <w:textAlignment w:val="auto"/>
        <w:outlineLvl w:val="2"/>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lang w:val="en-US" w:eastAsia="zh-CN"/>
        </w:rPr>
        <w:t>2</w:t>
      </w:r>
      <w:r>
        <w:rPr>
          <w:rFonts w:hint="default" w:ascii="Times New Roman" w:hAnsi="Times New Roman" w:eastAsia="仿宋_GB2312" w:cs="Times New Roman"/>
          <w:color w:val="auto"/>
          <w:lang w:val="en-US" w:eastAsia="zh-CN"/>
        </w:rPr>
        <w:t xml:space="preserve">. </w:t>
      </w:r>
      <w:r>
        <w:rPr>
          <w:rFonts w:hint="default" w:ascii="Times New Roman" w:hAnsi="Times New Roman" w:eastAsia="仿宋_GB2312" w:cs="Times New Roman"/>
          <w:b/>
          <w:color w:val="auto"/>
          <w:sz w:val="32"/>
          <w:szCs w:val="32"/>
          <w:lang w:val="en-US" w:eastAsia="zh-CN"/>
        </w:rPr>
        <w:t>推进城市精细化管理</w:t>
      </w:r>
    </w:p>
    <w:p w14:paraId="5B187AA1">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0"/>
          <w:sz w:val="32"/>
          <w:szCs w:val="32"/>
          <w:lang w:val="en-US" w:eastAsia="zh-CN" w:bidi="ar"/>
        </w:rPr>
        <w:t>坚持党建引领、重心下移、科技赋能，从群众身边小事抓起，以绣花功夫加强城市精细化管理，推动城市治理体系和治理能力现代化。推动社会治理和服务重心下沉、资源下沉、力量下沉，建立</w:t>
      </w:r>
      <w:r>
        <w:rPr>
          <w:rFonts w:hint="default" w:ascii="Times New Roman" w:hAnsi="Times New Roman" w:eastAsia="仿宋_GB2312" w:cs="Times New Roman"/>
          <w:color w:val="auto"/>
          <w:lang w:val="en-US" w:eastAsia="zh-CN"/>
        </w:rPr>
        <w:t>健全</w:t>
      </w:r>
      <w:r>
        <w:rPr>
          <w:rFonts w:hint="eastAsia" w:ascii="Times New Roman" w:hAnsi="Times New Roman" w:eastAsia="仿宋_GB2312" w:cs="Times New Roman"/>
          <w:color w:val="auto"/>
          <w:lang w:val="en-US" w:eastAsia="zh-CN"/>
        </w:rPr>
        <w:t>以</w:t>
      </w:r>
      <w:r>
        <w:rPr>
          <w:rFonts w:hint="default" w:ascii="Times New Roman" w:hAnsi="Times New Roman" w:eastAsia="仿宋_GB2312" w:cs="Times New Roman"/>
          <w:color w:val="auto"/>
          <w:kern w:val="0"/>
          <w:sz w:val="32"/>
          <w:szCs w:val="32"/>
          <w:lang w:val="en-US" w:eastAsia="zh-CN" w:bidi="ar"/>
        </w:rPr>
        <w:t>党组织</w:t>
      </w:r>
      <w:r>
        <w:rPr>
          <w:rFonts w:hint="eastAsia" w:ascii="Times New Roman" w:hAnsi="Times New Roman" w:eastAsia="仿宋_GB2312" w:cs="Times New Roman"/>
          <w:color w:val="auto"/>
          <w:kern w:val="0"/>
          <w:sz w:val="32"/>
          <w:szCs w:val="32"/>
          <w:lang w:val="en-US" w:eastAsia="zh-CN" w:bidi="ar"/>
        </w:rPr>
        <w:t>为</w:t>
      </w:r>
      <w:r>
        <w:rPr>
          <w:rFonts w:hint="default" w:ascii="Times New Roman" w:hAnsi="Times New Roman" w:eastAsia="仿宋_GB2312" w:cs="Times New Roman"/>
          <w:color w:val="auto"/>
          <w:kern w:val="0"/>
          <w:sz w:val="32"/>
          <w:szCs w:val="32"/>
          <w:lang w:val="en-US" w:eastAsia="zh-CN" w:bidi="ar"/>
        </w:rPr>
        <w:t>领导、社区居委会为主体、业主委员会和物业企业密切协同、社区居民积极参与的基层社区治理共同体。</w:t>
      </w:r>
      <w:r>
        <w:rPr>
          <w:rFonts w:hint="default" w:ascii="Times New Roman" w:hAnsi="Times New Roman" w:eastAsia="仿宋_GB2312" w:cs="Times New Roman"/>
          <w:color w:val="auto"/>
          <w:sz w:val="32"/>
          <w:szCs w:val="32"/>
          <w:lang w:val="en-US" w:eastAsia="zh-CN"/>
        </w:rPr>
        <w:t>深入推进“红色物业”三年行动，推进村湾夜话、星空夜话全覆盖。推进城区治理数字化，</w:t>
      </w:r>
      <w:r>
        <w:rPr>
          <w:rFonts w:hint="default" w:ascii="Times New Roman" w:hAnsi="Times New Roman" w:eastAsia="仿宋_GB2312" w:cs="Times New Roman"/>
          <w:b w:val="0"/>
          <w:bCs w:val="0"/>
          <w:i w:val="0"/>
          <w:caps w:val="0"/>
          <w:color w:val="auto"/>
          <w:spacing w:val="0"/>
          <w:kern w:val="2"/>
          <w:sz w:val="32"/>
          <w:szCs w:val="32"/>
          <w:highlight w:val="none"/>
          <w:u w:val="none"/>
          <w:shd w:val="clear" w:color="auto" w:fill="FFFFFF"/>
          <w:lang w:val="en-US" w:eastAsia="zh-CN" w:bidi="ar-SA"/>
        </w:rPr>
        <w:t>建设</w:t>
      </w:r>
      <w:r>
        <w:rPr>
          <w:rFonts w:hint="eastAsia" w:ascii="仿宋_GB2312" w:hAnsi="仿宋_GB2312" w:eastAsia="仿宋_GB2312" w:cs="仿宋_GB2312"/>
          <w:b w:val="0"/>
          <w:bCs w:val="0"/>
          <w:i w:val="0"/>
          <w:caps w:val="0"/>
          <w:color w:val="auto"/>
          <w:spacing w:val="0"/>
          <w:kern w:val="2"/>
          <w:sz w:val="32"/>
          <w:szCs w:val="32"/>
          <w:highlight w:val="none"/>
          <w:u w:val="none"/>
          <w:shd w:val="clear" w:color="auto" w:fill="FFFFFF"/>
          <w:lang w:val="en-US" w:eastAsia="zh-CN" w:bidi="ar-SA"/>
        </w:rPr>
        <w:t>“云上协商”和“公益积分”平台。</w:t>
      </w:r>
      <w:r>
        <w:rPr>
          <w:rFonts w:hint="default" w:ascii="Times New Roman" w:hAnsi="Times New Roman" w:eastAsia="仿宋_GB2312" w:cs="Times New Roman"/>
          <w:color w:val="auto"/>
          <w:kern w:val="0"/>
          <w:sz w:val="32"/>
          <w:szCs w:val="32"/>
          <w:lang w:val="en-US" w:eastAsia="zh-CN" w:bidi="ar"/>
        </w:rPr>
        <w:t>健全城市安全运行管理机制，建立城市安全风险信息管理平台，完善信息互通、资源共享、协调联动的风险防控体系，实现城市全生命周期管理。</w:t>
      </w:r>
      <w:r>
        <w:rPr>
          <w:rFonts w:hint="default" w:ascii="Times New Roman" w:hAnsi="Times New Roman" w:eastAsia="仿宋_GB2312" w:cs="Times New Roman"/>
          <w:color w:val="auto"/>
          <w:sz w:val="32"/>
          <w:szCs w:val="32"/>
          <w:lang w:val="en-US" w:eastAsia="zh-CN"/>
        </w:rPr>
        <w:t>深入实施文化惠民工程，常态化开展志愿服务，开展群众性精神文明创建活动，创建文明单位、文明家庭、文明校园，促进文明习惯养成，不断提升市民文明素质和城市文明程度。</w:t>
      </w:r>
    </w:p>
    <w:p w14:paraId="304F2B54">
      <w:pPr>
        <w:pageBreakBefore w:val="0"/>
        <w:widowControl w:val="0"/>
        <w:kinsoku/>
        <w:wordWrap/>
        <w:overflowPunct/>
        <w:topLinePunct w:val="0"/>
        <w:autoSpaceDE/>
        <w:autoSpaceDN/>
        <w:bidi w:val="0"/>
        <w:adjustRightInd w:val="0"/>
        <w:snapToGrid w:val="0"/>
        <w:spacing w:line="560" w:lineRule="exact"/>
        <w:textAlignment w:val="auto"/>
        <w:outlineLvl w:val="2"/>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lang w:val="en-US" w:eastAsia="zh-CN"/>
        </w:rPr>
        <w:t>3. 实施“擦亮小城镇”行动</w:t>
      </w:r>
    </w:p>
    <w:p w14:paraId="37F32D6B">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推进汀泗桥镇、向阳湖镇、官埠桥镇、贺胜桥镇、双溪桥镇和马桥镇等工业乡镇产业协同创新能力，建设一批功能完善、宜居宜业、特色鲜明的产业强镇。</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46B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AD54E90">
            <w:pPr>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仿宋_GB2312" w:cs="Times New Roman"/>
                <w:color w:val="auto"/>
                <w:kern w:val="0"/>
                <w:sz w:val="32"/>
                <w:szCs w:val="32"/>
                <w:vertAlign w:val="baseline"/>
                <w:lang w:val="en-US" w:eastAsia="zh-CN" w:bidi="ar"/>
              </w:rPr>
            </w:pPr>
            <w:r>
              <w:rPr>
                <w:rFonts w:hint="default" w:ascii="Times New Roman" w:hAnsi="Times New Roman" w:eastAsia="楷体_GB2312" w:cs="Times New Roman"/>
                <w:b/>
                <w:bCs/>
                <w:color w:val="auto"/>
                <w:kern w:val="0"/>
                <w:sz w:val="32"/>
                <w:szCs w:val="32"/>
                <w:vertAlign w:val="baseline"/>
                <w:lang w:val="en-US" w:eastAsia="zh-CN" w:bidi="ar"/>
              </w:rPr>
              <w:t>专栏4  就地城镇化重大项目</w:t>
            </w:r>
          </w:p>
        </w:tc>
      </w:tr>
      <w:tr w14:paraId="65BE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BCE4F47">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城市更新项目</w:t>
            </w:r>
            <w:r>
              <w:rPr>
                <w:rFonts w:hint="default" w:ascii="Times New Roman" w:hAnsi="Times New Roman" w:eastAsia="仿宋_GB2312" w:cs="Times New Roman"/>
                <w:b w:val="0"/>
                <w:bCs w:val="0"/>
                <w:color w:val="auto"/>
                <w:kern w:val="0"/>
                <w:sz w:val="30"/>
                <w:szCs w:val="30"/>
                <w:lang w:val="en-US" w:eastAsia="zh-CN" w:bidi="ar"/>
              </w:rPr>
              <w:t>。南大街片区城市更新、洞口片区开发建设。</w:t>
            </w:r>
          </w:p>
          <w:p w14:paraId="510FE724">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color w:val="auto"/>
                <w:kern w:val="0"/>
                <w:sz w:val="28"/>
                <w:szCs w:val="28"/>
                <w:lang w:val="en-US" w:eastAsia="zh-CN" w:bidi="ar"/>
              </w:rPr>
            </w:pPr>
            <w:r>
              <w:rPr>
                <w:rFonts w:hint="default" w:ascii="Times New Roman" w:hAnsi="Times New Roman" w:eastAsia="仿宋_GB2312" w:cs="Times New Roman"/>
                <w:b/>
                <w:bCs/>
                <w:color w:val="auto"/>
                <w:kern w:val="0"/>
                <w:sz w:val="30"/>
                <w:szCs w:val="30"/>
                <w:lang w:val="en-US" w:eastAsia="zh-CN" w:bidi="ar"/>
              </w:rPr>
              <w:t>城市精细化</w:t>
            </w:r>
            <w:r>
              <w:rPr>
                <w:rFonts w:hint="eastAsia" w:ascii="Times New Roman" w:hAnsi="Times New Roman" w:eastAsia="仿宋_GB2312" w:cs="Times New Roman"/>
                <w:b/>
                <w:bCs/>
                <w:color w:val="auto"/>
                <w:kern w:val="0"/>
                <w:sz w:val="30"/>
                <w:szCs w:val="30"/>
                <w:lang w:val="en-US" w:eastAsia="zh-CN" w:bidi="ar"/>
              </w:rPr>
              <w:t>管理</w:t>
            </w:r>
            <w:r>
              <w:rPr>
                <w:rFonts w:hint="default" w:ascii="Times New Roman" w:hAnsi="Times New Roman" w:eastAsia="仿宋_GB2312" w:cs="Times New Roman"/>
                <w:b/>
                <w:bCs/>
                <w:color w:val="auto"/>
                <w:kern w:val="0"/>
                <w:sz w:val="30"/>
                <w:szCs w:val="30"/>
                <w:lang w:val="en-US" w:eastAsia="zh-CN" w:bidi="ar"/>
              </w:rPr>
              <w:t>项目</w:t>
            </w:r>
            <w:r>
              <w:rPr>
                <w:rFonts w:hint="default" w:ascii="Times New Roman" w:hAnsi="Times New Roman" w:eastAsia="仿宋_GB2312" w:cs="Times New Roman"/>
                <w:b w:val="0"/>
                <w:bCs w:val="0"/>
                <w:color w:val="auto"/>
                <w:kern w:val="0"/>
                <w:sz w:val="30"/>
                <w:szCs w:val="30"/>
                <w:lang w:val="en-US" w:eastAsia="zh-CN" w:bidi="ar"/>
              </w:rPr>
              <w:t>。咸安区老旧小区燃气管道老化更新改造项目、咸安经济开发区产城一体配套设施建设项目、咸安商贸物流区基础设施提升项目、咸安区鱼水路宏大农贸市场就地升级改造建设项目。</w:t>
            </w:r>
          </w:p>
        </w:tc>
      </w:tr>
    </w:tbl>
    <w:p w14:paraId="44D6F032">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楷体_GB2312" w:hAnsi="楷体_GB2312" w:eastAsia="楷体_GB2312" w:cs="楷体_GB2312"/>
          <w:color w:val="auto"/>
          <w:lang w:val="en-US" w:eastAsia="zh-CN"/>
        </w:rPr>
      </w:pPr>
      <w:bookmarkStart w:id="114" w:name="_Toc31721"/>
      <w:bookmarkStart w:id="115" w:name="_Toc3629"/>
      <w:r>
        <w:rPr>
          <w:rFonts w:hint="default" w:ascii="楷体_GB2312" w:hAnsi="楷体_GB2312" w:eastAsia="楷体_GB2312" w:cs="楷体_GB2312"/>
          <w:color w:val="auto"/>
          <w:lang w:val="en-US" w:eastAsia="zh-CN"/>
        </w:rPr>
        <w:t>（五）推进农业现代化，打造“城乡统筹”首善之区</w:t>
      </w:r>
      <w:bookmarkEnd w:id="114"/>
      <w:bookmarkEnd w:id="115"/>
    </w:p>
    <w:p w14:paraId="03418C66">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全面实施乡村振兴战略，着力农业补链延链强链，推进农业产业化和融合化发展，以共同缔造理念推进和美乡村建设，强化以工补农、以城带乡，推动形成工农互促、城乡互补、协调发展、共同繁荣的新型工农城乡关系。</w:t>
      </w:r>
    </w:p>
    <w:p w14:paraId="6EBB31D5">
      <w:pPr>
        <w:keepNext w:val="0"/>
        <w:keepLines w:val="0"/>
        <w:pageBreakBefore w:val="0"/>
        <w:widowControl w:val="0"/>
        <w:kinsoku/>
        <w:wordWrap/>
        <w:overflowPunct/>
        <w:topLinePunct w:val="0"/>
        <w:autoSpaceDE/>
        <w:autoSpaceDN/>
        <w:bidi w:val="0"/>
        <w:adjustRightInd w:val="0"/>
        <w:snapToGrid w:val="0"/>
        <w:spacing w:line="560" w:lineRule="atLeast"/>
        <w:textAlignment w:val="auto"/>
        <w:outlineLvl w:val="2"/>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lang w:val="en-US" w:eastAsia="zh-CN"/>
        </w:rPr>
        <w:t>1. 提升农业综合生产能力</w:t>
      </w:r>
    </w:p>
    <w:p w14:paraId="4F272FD8">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bidi="ar"/>
        </w:rPr>
        <w:t>推进农业机械化信息化，</w:t>
      </w:r>
      <w:r>
        <w:rPr>
          <w:rFonts w:hint="eastAsia" w:ascii="仿宋_GB2312" w:hAnsi="仿宋_GB2312" w:eastAsia="仿宋_GB2312" w:cs="仿宋_GB2312"/>
          <w:b w:val="0"/>
          <w:bCs w:val="0"/>
          <w:color w:val="auto"/>
          <w:kern w:val="0"/>
          <w:sz w:val="32"/>
          <w:szCs w:val="32"/>
          <w:lang w:val="en-US" w:eastAsia="zh-CN" w:bidi="ar"/>
        </w:rPr>
        <w:t>提高农机装备应用能力，完善机耕道、场库棚、烘干机塔等配套设施，发展“全程</w:t>
      </w:r>
      <w:r>
        <w:rPr>
          <w:rFonts w:hint="eastAsia" w:ascii="仿宋_GB2312" w:hAnsi="仿宋_GB2312" w:eastAsia="仿宋_GB2312" w:cs="仿宋_GB2312"/>
          <w:color w:val="auto"/>
          <w:lang w:val="en-US" w:eastAsia="zh-CN"/>
        </w:rPr>
        <w:t>机械化</w:t>
      </w:r>
      <w:r>
        <w:rPr>
          <w:rFonts w:hint="eastAsia" w:ascii="仿宋_GB2312" w:hAnsi="仿宋_GB2312" w:eastAsia="仿宋_GB2312" w:cs="仿宋_GB2312"/>
          <w:b w:val="0"/>
          <w:bCs w:val="0"/>
          <w:color w:val="auto"/>
          <w:kern w:val="0"/>
          <w:sz w:val="32"/>
          <w:szCs w:val="32"/>
          <w:lang w:val="en-US" w:eastAsia="zh-CN" w:bidi="ar"/>
        </w:rPr>
        <w:t>+综合农事”等农机服务新模式，</w:t>
      </w:r>
      <w:r>
        <w:rPr>
          <w:rFonts w:hint="eastAsia" w:ascii="仿宋_GB2312" w:hAnsi="仿宋_GB2312" w:eastAsia="仿宋_GB2312" w:cs="仿宋_GB2312"/>
          <w:color w:val="auto"/>
          <w:kern w:val="0"/>
          <w:sz w:val="32"/>
          <w:szCs w:val="32"/>
          <w:lang w:val="en-US" w:eastAsia="zh-CN" w:bidi="ar"/>
        </w:rPr>
        <w:t>农作物耕种收综合机械化率达到76%以上。</w:t>
      </w:r>
      <w:r>
        <w:rPr>
          <w:rFonts w:hint="eastAsia" w:ascii="仿宋_GB2312" w:hAnsi="仿宋_GB2312" w:eastAsia="仿宋_GB2312" w:cs="仿宋_GB2312"/>
          <w:b w:val="0"/>
          <w:bCs w:val="0"/>
          <w:color w:val="auto"/>
          <w:kern w:val="0"/>
          <w:sz w:val="32"/>
          <w:szCs w:val="32"/>
          <w:lang w:val="en-US" w:eastAsia="zh-CN" w:bidi="ar"/>
        </w:rPr>
        <w:t>推进5G、北斗、物联网等</w:t>
      </w:r>
      <w:r>
        <w:rPr>
          <w:rFonts w:hint="eastAsia" w:ascii="仿宋_GB2312" w:hAnsi="仿宋_GB2312" w:eastAsia="仿宋_GB2312" w:cs="仿宋_GB2312"/>
          <w:color w:val="auto"/>
          <w:kern w:val="0"/>
          <w:sz w:val="32"/>
          <w:szCs w:val="32"/>
          <w:lang w:val="en-US" w:eastAsia="zh-CN" w:bidi="ar"/>
        </w:rPr>
        <w:t>新一代信息技术在农业生产各环节的推广应用。</w:t>
      </w:r>
      <w:r>
        <w:rPr>
          <w:rFonts w:hint="eastAsia" w:ascii="仿宋_GB2312" w:hAnsi="仿宋_GB2312" w:eastAsia="仿宋_GB2312" w:cs="仿宋_GB2312"/>
          <w:b/>
          <w:bCs/>
          <w:color w:val="auto"/>
          <w:kern w:val="0"/>
          <w:sz w:val="32"/>
          <w:szCs w:val="32"/>
          <w:lang w:val="en-US" w:eastAsia="zh-CN" w:bidi="ar"/>
        </w:rPr>
        <w:t>推进农业绿色发展，</w:t>
      </w:r>
      <w:r>
        <w:rPr>
          <w:rFonts w:hint="eastAsia" w:ascii="仿宋_GB2312" w:hAnsi="仿宋_GB2312" w:eastAsia="仿宋_GB2312" w:cs="仿宋_GB2312"/>
          <w:color w:val="auto"/>
          <w:sz w:val="32"/>
          <w:szCs w:val="32"/>
          <w:lang w:val="en-US" w:eastAsia="zh-CN"/>
        </w:rPr>
        <w:t>全面落实长江十年禁渔，严厉打击非法捕捞贩卖等行为，加强禁捕水域垂钓管理。</w:t>
      </w:r>
      <w:r>
        <w:rPr>
          <w:rFonts w:hint="eastAsia" w:ascii="仿宋_GB2312" w:hAnsi="仿宋_GB2312" w:eastAsia="仿宋_GB2312" w:cs="仿宋_GB2312"/>
          <w:color w:val="auto"/>
          <w:kern w:val="0"/>
          <w:sz w:val="32"/>
          <w:szCs w:val="32"/>
          <w:lang w:val="en-US" w:eastAsia="zh-CN" w:bidi="ar"/>
        </w:rPr>
        <w:t>推广绿色防控和统防统治相融合技术，确保粮食作物重大病虫害危害损失率控制在5%以内。</w:t>
      </w:r>
      <w:r>
        <w:rPr>
          <w:rFonts w:hint="eastAsia" w:ascii="仿宋_GB2312" w:hAnsi="仿宋_GB2312" w:eastAsia="仿宋_GB2312" w:cs="仿宋_GB2312"/>
          <w:color w:val="auto"/>
          <w:sz w:val="32"/>
          <w:szCs w:val="32"/>
          <w:lang w:val="en-US" w:eastAsia="zh-CN"/>
        </w:rPr>
        <w:t>统筹推进</w:t>
      </w:r>
      <w:r>
        <w:rPr>
          <w:rFonts w:hint="eastAsia" w:ascii="仿宋_GB2312" w:hAnsi="仿宋_GB2312" w:eastAsia="仿宋_GB2312" w:cs="仿宋_GB2312"/>
          <w:b w:val="0"/>
          <w:bCs w:val="0"/>
          <w:color w:val="auto"/>
          <w:kern w:val="0"/>
          <w:sz w:val="32"/>
          <w:szCs w:val="32"/>
          <w:lang w:val="en-US" w:eastAsia="zh-CN" w:bidi="ar"/>
        </w:rPr>
        <w:t>农业面源污染防治，</w:t>
      </w:r>
      <w:r>
        <w:rPr>
          <w:rFonts w:hint="eastAsia" w:ascii="仿宋_GB2312" w:hAnsi="仿宋_GB2312" w:eastAsia="仿宋_GB2312" w:cs="仿宋_GB2312"/>
          <w:color w:val="auto"/>
          <w:sz w:val="32"/>
          <w:szCs w:val="32"/>
          <w:lang w:val="en-US" w:eastAsia="zh-CN"/>
        </w:rPr>
        <w:t>深入推进农药化肥减量增效，加强畜禽粪污资源化利用和农作物秸秆</w:t>
      </w:r>
      <w:r>
        <w:rPr>
          <w:rFonts w:hint="eastAsia" w:ascii="仿宋_GB2312" w:hAnsi="仿宋_GB2312" w:eastAsia="仿宋_GB2312" w:cs="仿宋_GB2312"/>
          <w:strike w:val="0"/>
          <w:dstrike w:val="0"/>
          <w:color w:val="auto"/>
          <w:sz w:val="32"/>
          <w:szCs w:val="32"/>
          <w:lang w:val="en-US" w:eastAsia="zh-CN"/>
        </w:rPr>
        <w:t>综合</w:t>
      </w:r>
      <w:r>
        <w:rPr>
          <w:rFonts w:hint="eastAsia" w:ascii="仿宋_GB2312" w:hAnsi="仿宋_GB2312" w:eastAsia="仿宋_GB2312" w:cs="仿宋_GB2312"/>
          <w:strike w:val="0"/>
          <w:color w:val="auto"/>
          <w:sz w:val="32"/>
          <w:szCs w:val="32"/>
          <w:lang w:val="en-US" w:eastAsia="zh-CN"/>
        </w:rPr>
        <w:t>利</w:t>
      </w:r>
      <w:r>
        <w:rPr>
          <w:rFonts w:hint="eastAsia" w:ascii="仿宋_GB2312" w:hAnsi="仿宋_GB2312" w:eastAsia="仿宋_GB2312" w:cs="仿宋_GB2312"/>
          <w:color w:val="auto"/>
          <w:sz w:val="32"/>
          <w:szCs w:val="32"/>
          <w:lang w:val="en-US" w:eastAsia="zh-CN"/>
        </w:rPr>
        <w:t>用，全区绿色防控覆盖率达45%以上，畜禽粪污资源化利用率达到85%以上。</w:t>
      </w:r>
      <w:r>
        <w:rPr>
          <w:rFonts w:hint="eastAsia" w:ascii="仿宋_GB2312" w:hAnsi="仿宋_GB2312" w:eastAsia="仿宋_GB2312" w:cs="仿宋_GB2312"/>
          <w:b/>
          <w:bCs/>
          <w:color w:val="auto"/>
          <w:kern w:val="0"/>
          <w:sz w:val="32"/>
          <w:szCs w:val="32"/>
          <w:lang w:val="en-US" w:eastAsia="zh-CN" w:bidi="ar"/>
        </w:rPr>
        <w:t>防范农业重大灾害，</w:t>
      </w:r>
      <w:r>
        <w:rPr>
          <w:rFonts w:hint="eastAsia" w:ascii="仿宋_GB2312" w:hAnsi="仿宋_GB2312" w:eastAsia="仿宋_GB2312" w:cs="仿宋_GB2312"/>
          <w:b w:val="0"/>
          <w:bCs w:val="0"/>
          <w:color w:val="auto"/>
          <w:kern w:val="0"/>
          <w:sz w:val="32"/>
          <w:szCs w:val="32"/>
          <w:lang w:val="en-US" w:eastAsia="zh-CN" w:bidi="ar"/>
        </w:rPr>
        <w:t>强化种子等生产物资以及抗旱防汛设备的储备和调运，加强外来有害生物普查、监测预警和防控治理。</w:t>
      </w:r>
      <w:r>
        <w:rPr>
          <w:rFonts w:hint="eastAsia" w:ascii="仿宋_GB2312" w:hAnsi="仿宋_GB2312" w:eastAsia="仿宋_GB2312" w:cs="仿宋_GB2312"/>
          <w:b/>
          <w:bCs/>
          <w:color w:val="auto"/>
          <w:sz w:val="32"/>
          <w:szCs w:val="32"/>
          <w:lang w:val="en-US" w:eastAsia="zh-CN"/>
        </w:rPr>
        <w:t>保障农产品质量安全，</w:t>
      </w:r>
      <w:r>
        <w:rPr>
          <w:rFonts w:hint="eastAsia" w:ascii="仿宋_GB2312" w:hAnsi="仿宋_GB2312" w:eastAsia="仿宋_GB2312" w:cs="仿宋_GB2312"/>
          <w:color w:val="auto"/>
          <w:sz w:val="32"/>
          <w:szCs w:val="32"/>
          <w:lang w:val="en-US" w:eastAsia="zh-CN"/>
        </w:rPr>
        <w:t>推行食用农产品合格证制度，做好农产品质量安全风险管控，加强“两品一标”农产品管理，“两品一标”农产品数量达到55个。</w:t>
      </w:r>
    </w:p>
    <w:p w14:paraId="1D7C0905">
      <w:pPr>
        <w:pageBreakBefore w:val="0"/>
        <w:widowControl w:val="0"/>
        <w:kinsoku/>
        <w:wordWrap/>
        <w:overflowPunct/>
        <w:topLinePunct w:val="0"/>
        <w:autoSpaceDE/>
        <w:autoSpaceDN/>
        <w:bidi w:val="0"/>
        <w:adjustRightInd w:val="0"/>
        <w:snapToGrid w:val="0"/>
        <w:spacing w:line="560" w:lineRule="exact"/>
        <w:textAlignment w:val="auto"/>
        <w:outlineLvl w:val="2"/>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lang w:val="en-US" w:eastAsia="zh-CN"/>
        </w:rPr>
        <w:t>2. 高质量发展农业六大产业链</w:t>
      </w:r>
    </w:p>
    <w:p w14:paraId="039E86AF">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color w:val="auto"/>
          <w:sz w:val="32"/>
          <w:szCs w:val="32"/>
          <w:lang w:val="en-US" w:eastAsia="zh-CN"/>
        </w:rPr>
        <w:t>推进六大产业融合发展，</w:t>
      </w:r>
      <w:r>
        <w:rPr>
          <w:rFonts w:hint="eastAsia" w:ascii="仿宋_GB2312" w:hAnsi="仿宋_GB2312" w:eastAsia="仿宋_GB2312" w:cs="仿宋_GB2312"/>
          <w:b w:val="0"/>
          <w:bCs w:val="0"/>
          <w:color w:val="auto"/>
          <w:sz w:val="32"/>
          <w:szCs w:val="32"/>
          <w:lang w:val="en-US" w:eastAsia="zh-CN"/>
        </w:rPr>
        <w:t>以</w:t>
      </w:r>
      <w:r>
        <w:rPr>
          <w:rFonts w:hint="eastAsia" w:ascii="仿宋_GB2312" w:hAnsi="仿宋_GB2312" w:eastAsia="仿宋_GB2312" w:cs="仿宋_GB2312"/>
          <w:color w:val="auto"/>
          <w:sz w:val="32"/>
          <w:szCs w:val="32"/>
          <w:lang w:val="en-US" w:eastAsia="zh-CN"/>
        </w:rPr>
        <w:t>万亩茶园、星星竹海、桂花古树等农业资源为基础，发展农副产品精深加工业，开发寻香觅源、山地运动、森林露营等旅游线路，发展“共享民宿”“民宿办公”“智能民宿”“自助民宿”等新业态，拓展田园养生、研学科普、农耕体验、民宿康养等新功能，提升农业附加值。</w:t>
      </w:r>
      <w:r>
        <w:rPr>
          <w:rFonts w:hint="eastAsia" w:ascii="仿宋_GB2312" w:hAnsi="仿宋_GB2312" w:eastAsia="仿宋_GB2312" w:cs="仿宋_GB2312"/>
          <w:b/>
          <w:bCs/>
          <w:color w:val="auto"/>
          <w:sz w:val="32"/>
          <w:szCs w:val="32"/>
          <w:lang w:val="en-US" w:eastAsia="zh-CN"/>
        </w:rPr>
        <w:t>做强茶产业链，</w:t>
      </w:r>
      <w:r>
        <w:rPr>
          <w:rFonts w:hint="eastAsia" w:ascii="仿宋_GB2312" w:hAnsi="仿宋_GB2312" w:eastAsia="仿宋_GB2312" w:cs="仿宋_GB2312"/>
          <w:color w:val="auto"/>
          <w:sz w:val="32"/>
          <w:szCs w:val="32"/>
          <w:lang w:val="en-US" w:eastAsia="zh-CN"/>
        </w:rPr>
        <w:t>稳定发展名优绿茶，突出发展红茶，推进黄荆塘村、西山下村、陈祠村、雨坛村等茶叶村标准化基地建设，提升茶叶品质。提升区域公共品牌“咸安桂茶”品牌效益，支持企业在武汉、内蒙古、广东开设咸安茶专营店，拓宽茶叶电子营销网络途径。推进茶文旅融合发展，以点串线发展茶旅、研学等新业态。</w:t>
      </w:r>
      <w:r>
        <w:rPr>
          <w:rFonts w:hint="eastAsia" w:ascii="仿宋_GB2312" w:hAnsi="仿宋_GB2312" w:eastAsia="仿宋_GB2312" w:cs="仿宋_GB2312"/>
          <w:b/>
          <w:bCs/>
          <w:color w:val="auto"/>
          <w:sz w:val="32"/>
          <w:szCs w:val="32"/>
          <w:lang w:val="en-US" w:eastAsia="zh-CN"/>
        </w:rPr>
        <w:t>延长肉鸡产业链，</w:t>
      </w:r>
      <w:r>
        <w:rPr>
          <w:rFonts w:hint="eastAsia" w:ascii="仿宋_GB2312" w:hAnsi="仿宋_GB2312" w:eastAsia="仿宋_GB2312" w:cs="仿宋_GB2312"/>
          <w:color w:val="auto"/>
          <w:sz w:val="32"/>
          <w:szCs w:val="32"/>
          <w:lang w:val="en-US" w:eastAsia="zh-CN"/>
        </w:rPr>
        <w:t>实施温氏集团肉鸡产业链项目，支持发展肉鸡良种繁育、商品肉鸡养殖、肉鸡屠宰分割和熟食加工、鸡肉产品冷链配送销售，建成8个肉鸡高效笼养小区，确保肉禽年出笼达到5000万羽。</w:t>
      </w:r>
      <w:r>
        <w:rPr>
          <w:rFonts w:hint="eastAsia" w:ascii="仿宋_GB2312" w:hAnsi="仿宋_GB2312" w:eastAsia="仿宋_GB2312" w:cs="仿宋_GB2312"/>
          <w:b/>
          <w:bCs/>
          <w:color w:val="auto"/>
          <w:sz w:val="32"/>
          <w:szCs w:val="32"/>
          <w:lang w:val="en-US" w:eastAsia="zh-CN"/>
        </w:rPr>
        <w:t>补齐中药材产业链</w:t>
      </w:r>
      <w:r>
        <w:rPr>
          <w:rFonts w:hint="eastAsia" w:ascii="仿宋_GB2312" w:hAnsi="仿宋_GB2312" w:eastAsia="仿宋_GB2312" w:cs="仿宋_GB2312"/>
          <w:color w:val="auto"/>
          <w:sz w:val="32"/>
          <w:szCs w:val="32"/>
          <w:lang w:val="en-US" w:eastAsia="zh-CN"/>
        </w:rPr>
        <w:t>，加强中药材种植基地与咸宁大医圣药业有限公司、湖北丹鼎医药有限公司等生物医药企业的深度合作，推进中药材种植技术培训和基地建设，支持龙头企业在双溪桥镇、向阳湖镇、马桥镇等乡镇建设中药材标准化种植基地，推进中药材资源就地转化和精深加工。</w:t>
      </w:r>
      <w:r>
        <w:rPr>
          <w:rFonts w:hint="eastAsia" w:ascii="仿宋_GB2312" w:hAnsi="仿宋_GB2312" w:eastAsia="仿宋_GB2312" w:cs="仿宋_GB2312"/>
          <w:b/>
          <w:bCs/>
          <w:color w:val="auto"/>
          <w:sz w:val="32"/>
          <w:szCs w:val="32"/>
          <w:lang w:val="en-US" w:eastAsia="zh-CN"/>
        </w:rPr>
        <w:t>提升苎麻产业链</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稳定苎麻基地5000亩，推广华苎4号</w:t>
      </w:r>
      <w:r>
        <w:rPr>
          <w:rFonts w:hint="eastAsia" w:ascii="仿宋_GB2312" w:hAnsi="仿宋_GB2312" w:eastAsia="仿宋_GB2312" w:cs="仿宋_GB2312"/>
          <w:color w:val="auto"/>
          <w:sz w:val="32"/>
          <w:szCs w:val="32"/>
          <w:lang w:val="en-US" w:eastAsia="zh-CN"/>
        </w:rPr>
        <w:t>等新</w:t>
      </w:r>
      <w:r>
        <w:rPr>
          <w:rFonts w:hint="eastAsia" w:ascii="仿宋_GB2312" w:hAnsi="仿宋_GB2312" w:eastAsia="仿宋_GB2312" w:cs="仿宋_GB2312"/>
          <w:color w:val="auto"/>
          <w:sz w:val="32"/>
          <w:szCs w:val="32"/>
        </w:rPr>
        <w:t>品种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推广</w:t>
      </w:r>
      <w:r>
        <w:rPr>
          <w:rFonts w:hint="eastAsia" w:ascii="仿宋_GB2312" w:hAnsi="仿宋_GB2312" w:eastAsia="仿宋_GB2312" w:cs="仿宋_GB2312"/>
          <w:color w:val="auto"/>
          <w:sz w:val="32"/>
          <w:szCs w:val="32"/>
          <w:lang w:val="en-US" w:eastAsia="zh-CN"/>
        </w:rPr>
        <w:t>使用</w:t>
      </w:r>
      <w:r>
        <w:rPr>
          <w:rFonts w:hint="eastAsia" w:ascii="仿宋_GB2312" w:hAnsi="仿宋_GB2312" w:eastAsia="仿宋_GB2312" w:cs="仿宋_GB2312"/>
          <w:color w:val="auto"/>
          <w:sz w:val="32"/>
          <w:szCs w:val="32"/>
        </w:rPr>
        <w:t>新型苎麻联合收割机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提升苎麻园标准</w:t>
      </w:r>
      <w:r>
        <w:rPr>
          <w:rFonts w:hint="eastAsia" w:ascii="仿宋_GB2312" w:hAnsi="仿宋_GB2312" w:eastAsia="仿宋_GB2312" w:cs="仿宋_GB2312"/>
          <w:color w:val="auto"/>
          <w:sz w:val="32"/>
          <w:szCs w:val="32"/>
          <w:lang w:val="en-US" w:eastAsia="zh-CN"/>
        </w:rPr>
        <w:t>种植</w:t>
      </w:r>
      <w:r>
        <w:rPr>
          <w:rFonts w:hint="eastAsia" w:ascii="仿宋_GB2312" w:hAnsi="仿宋_GB2312" w:eastAsia="仿宋_GB2312" w:cs="仿宋_GB2312"/>
          <w:color w:val="auto"/>
          <w:sz w:val="32"/>
          <w:szCs w:val="32"/>
        </w:rPr>
        <w:t>水平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支持</w:t>
      </w:r>
      <w:r>
        <w:rPr>
          <w:rFonts w:hint="eastAsia" w:ascii="仿宋_GB2312" w:hAnsi="仿宋_GB2312" w:eastAsia="仿宋_GB2312" w:cs="仿宋_GB2312"/>
          <w:color w:val="auto"/>
          <w:sz w:val="32"/>
          <w:szCs w:val="32"/>
        </w:rPr>
        <w:t>苎麻加工企业实施技改提能，打造全国苎麻纺织加工、出口产业集群。</w:t>
      </w:r>
      <w:r>
        <w:rPr>
          <w:rFonts w:hint="eastAsia" w:ascii="仿宋_GB2312" w:hAnsi="仿宋_GB2312" w:eastAsia="仿宋_GB2312" w:cs="仿宋_GB2312"/>
          <w:b/>
          <w:bCs/>
          <w:color w:val="auto"/>
          <w:sz w:val="32"/>
          <w:szCs w:val="32"/>
          <w:lang w:val="en-US" w:eastAsia="zh-CN"/>
        </w:rPr>
        <w:t>提升桂花产业链，</w:t>
      </w:r>
      <w:r>
        <w:rPr>
          <w:rFonts w:hint="eastAsia" w:ascii="仿宋_GB2312" w:hAnsi="仿宋_GB2312" w:eastAsia="仿宋_GB2312" w:cs="仿宋_GB2312"/>
          <w:color w:val="auto"/>
          <w:sz w:val="32"/>
          <w:szCs w:val="32"/>
          <w:lang w:val="en-US" w:eastAsia="zh-CN"/>
        </w:rPr>
        <w:t>以建立“中国桂花城”先行区和核心区为目标，扩大桂花种植基地到7万亩，谋划建设桂花研究院，打造华中首个大型古桂主题公园，培植桂花产业示范园和龙头企业，发展桂花产业集群。</w:t>
      </w:r>
      <w:r>
        <w:rPr>
          <w:rFonts w:hint="eastAsia" w:ascii="仿宋_GB2312" w:hAnsi="仿宋_GB2312" w:eastAsia="仿宋_GB2312" w:cs="仿宋_GB2312"/>
          <w:b/>
          <w:bCs/>
          <w:color w:val="auto"/>
          <w:sz w:val="32"/>
          <w:szCs w:val="32"/>
          <w:lang w:val="en-US" w:eastAsia="zh-CN"/>
        </w:rPr>
        <w:t>融合发展楠竹产业链</w:t>
      </w:r>
      <w:r>
        <w:rPr>
          <w:rFonts w:hint="eastAsia" w:ascii="仿宋_GB2312" w:hAnsi="仿宋_GB2312" w:eastAsia="仿宋_GB2312" w:cs="仿宋_GB2312"/>
          <w:color w:val="auto"/>
          <w:sz w:val="32"/>
          <w:szCs w:val="32"/>
          <w:lang w:val="en-US" w:eastAsia="zh-CN"/>
        </w:rPr>
        <w:t>，开发竹资源利用拳头产品，发展以竹元素为主题的生态旅游和康养产业，建设竹文创产业中心、竹文创街、竹文化村、竹艺术小镇等发展平台，形成竹康养旅游线路，发展竹康养新业态。</w:t>
      </w:r>
    </w:p>
    <w:p w14:paraId="279EB65F">
      <w:pPr>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en-US" w:eastAsia="zh-CN"/>
        </w:rPr>
        <w:t>3</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color w:val="auto"/>
          <w:sz w:val="32"/>
          <w:szCs w:val="32"/>
          <w:lang w:val="en-US" w:eastAsia="zh-CN"/>
        </w:rPr>
        <w:t>整治提升农村人居环境</w:t>
      </w:r>
    </w:p>
    <w:p w14:paraId="160D860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深入开展美好环境与幸福生活共同缔造活动，启动实施农村人居环境整治提升五年行动，开展美丽宜居村庄和美丽庭院示范创建。</w:t>
      </w:r>
      <w:r>
        <w:rPr>
          <w:rFonts w:hint="eastAsia" w:ascii="仿宋_GB2312" w:hAnsi="仿宋_GB2312" w:eastAsia="仿宋_GB2312" w:cs="仿宋_GB2312"/>
          <w:color w:val="auto"/>
          <w:szCs w:val="32"/>
        </w:rPr>
        <w:t>围绕沿河振兴示范带、环湖振兴示范带、绕山振兴示范带，继续打造向阳湖广东</w:t>
      </w:r>
      <w:r>
        <w:rPr>
          <w:rFonts w:hint="eastAsia" w:ascii="仿宋_GB2312" w:hAnsi="仿宋_GB2312" w:eastAsia="仿宋_GB2312" w:cs="仿宋_GB2312"/>
          <w:color w:val="auto"/>
          <w:szCs w:val="32"/>
          <w:lang w:val="en-US" w:eastAsia="zh-CN"/>
        </w:rPr>
        <w:t>畈</w:t>
      </w:r>
      <w:r>
        <w:rPr>
          <w:rFonts w:hint="eastAsia" w:ascii="仿宋_GB2312" w:hAnsi="仿宋_GB2312" w:eastAsia="仿宋_GB2312" w:cs="仿宋_GB2312"/>
          <w:color w:val="auto"/>
          <w:szCs w:val="32"/>
        </w:rPr>
        <w:t>、汀泗黄荆塘、贺胜万秀严天申、九彬</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三桥绿色农业产业带等14个乡村振兴示范点。</w:t>
      </w:r>
      <w:r>
        <w:rPr>
          <w:rFonts w:hint="eastAsia" w:ascii="仿宋_GB2312" w:hAnsi="仿宋_GB2312" w:eastAsia="仿宋_GB2312" w:cs="仿宋_GB2312"/>
          <w:color w:val="auto"/>
          <w:sz w:val="32"/>
          <w:szCs w:val="32"/>
          <w:lang w:eastAsia="zh-CN"/>
        </w:rPr>
        <w:t>高质量建设“四好农村路”，</w:t>
      </w:r>
      <w:r>
        <w:rPr>
          <w:rFonts w:hint="eastAsia" w:ascii="仿宋_GB2312" w:hAnsi="仿宋_GB2312" w:eastAsia="仿宋_GB2312" w:cs="仿宋_GB2312"/>
          <w:color w:val="auto"/>
          <w:kern w:val="0"/>
          <w:sz w:val="32"/>
          <w:szCs w:val="32"/>
          <w:lang w:val="en-US" w:eastAsia="zh-CN" w:bidi="ar"/>
        </w:rPr>
        <w:t>推进农村公路建设项目向进村入户倾斜。健全农村供水工程建设运行和管护长效机制。</w:t>
      </w:r>
      <w:r>
        <w:rPr>
          <w:rFonts w:hint="eastAsia" w:ascii="仿宋_GB2312" w:hAnsi="仿宋_GB2312" w:eastAsia="仿宋_GB2312" w:cs="仿宋_GB2312"/>
          <w:color w:val="auto"/>
          <w:sz w:val="32"/>
          <w:szCs w:val="32"/>
          <w:lang w:eastAsia="zh-CN"/>
        </w:rPr>
        <w:t>因地制宜推进“管网+微动力污水处理站”建设，</w:t>
      </w:r>
      <w:r>
        <w:rPr>
          <w:rFonts w:hint="eastAsia" w:ascii="仿宋_GB2312" w:hAnsi="仿宋_GB2312" w:eastAsia="仿宋_GB2312" w:cs="仿宋_GB2312"/>
          <w:color w:val="auto"/>
          <w:kern w:val="0"/>
          <w:sz w:val="32"/>
          <w:szCs w:val="32"/>
          <w:lang w:val="en-US" w:eastAsia="zh-CN" w:bidi="ar"/>
        </w:rPr>
        <w:t>推进农村厕所革命与生活污水治理有机衔接，鼓励联户、联村、村镇一体处理。</w:t>
      </w:r>
    </w:p>
    <w:p w14:paraId="1C96FE59">
      <w:pPr>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en-US" w:eastAsia="zh-CN"/>
        </w:rPr>
        <w:t>4</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color w:val="auto"/>
          <w:sz w:val="32"/>
          <w:szCs w:val="32"/>
          <w:lang w:val="en-US" w:eastAsia="zh-CN"/>
        </w:rPr>
        <w:t>完善乡村治理体系</w:t>
      </w:r>
    </w:p>
    <w:p w14:paraId="4E39749D">
      <w:pPr>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夯实“红色根须工程”，推进以村湾党组织为核心的组织体系建设，引领广大群众共同缔造美好环境与幸福生活，开启乡村共建共治共享新局面。全面落实区级领导班子成员包乡走村，乡镇领导班子成员包村联户、村干部经常入户走访制度。健全党组织领导的村民自治机制，全面落实“四议两公开”制度。加强乡村法治教育和法律服务。深化乡村治理试点示范，完善“民主法治示范村（社区）”动态管理机制。开展农村“法律明白人”培养行动。推动乡镇（街道）、村（社区）综治中心规范化建设、实体化运行。持续开展农村地区扫黑除恶专项斗争，积极鼓励农村地区建设“智能看家”视频监控系统，推动偏远乡村“雪亮工程”全覆盖，发挥“一村一辅警”作用。推进农村殡葬习俗改革和公益性公墓建设。</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F25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ABD3AA3">
            <w:pPr>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outlineLvl w:val="9"/>
              <w:rPr>
                <w:rFonts w:hint="default" w:ascii="Times New Roman" w:hAnsi="Times New Roman" w:eastAsia="仿宋_GB2312" w:cs="Times New Roman"/>
                <w:color w:val="auto"/>
                <w:sz w:val="32"/>
                <w:szCs w:val="32"/>
                <w:vertAlign w:val="baseline"/>
                <w:lang w:val="en-US" w:eastAsia="zh-CN"/>
              </w:rPr>
            </w:pPr>
            <w:r>
              <w:rPr>
                <w:rFonts w:hint="default" w:ascii="Times New Roman" w:hAnsi="Times New Roman" w:eastAsia="楷体_GB2312" w:cs="Times New Roman"/>
                <w:b/>
                <w:bCs/>
                <w:color w:val="auto"/>
                <w:sz w:val="32"/>
                <w:szCs w:val="32"/>
                <w:vertAlign w:val="baseline"/>
                <w:lang w:val="en-US" w:eastAsia="zh-CN"/>
              </w:rPr>
              <w:t>专栏5  农业现代化领域重大项目</w:t>
            </w:r>
          </w:p>
        </w:tc>
      </w:tr>
      <w:tr w14:paraId="4711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0B64942">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农业综合生产能力提升项目。</w:t>
            </w:r>
            <w:r>
              <w:rPr>
                <w:rFonts w:hint="eastAsia" w:ascii="Times New Roman" w:hAnsi="Times New Roman" w:eastAsia="仿宋_GB2312" w:cs="Times New Roman"/>
                <w:b w:val="0"/>
                <w:bCs w:val="0"/>
                <w:color w:val="auto"/>
                <w:kern w:val="0"/>
                <w:sz w:val="30"/>
                <w:szCs w:val="30"/>
                <w:lang w:val="en-US" w:eastAsia="zh-CN" w:bidi="ar"/>
              </w:rPr>
              <w:t>农业信息化机械化技术推广项目、农业绿色防控项目、</w:t>
            </w:r>
            <w:r>
              <w:rPr>
                <w:rFonts w:hint="default" w:ascii="Times New Roman" w:hAnsi="Times New Roman" w:eastAsia="仿宋_GB2312" w:cs="Times New Roman"/>
                <w:b w:val="0"/>
                <w:bCs w:val="0"/>
                <w:color w:val="auto"/>
                <w:kern w:val="0"/>
                <w:sz w:val="30"/>
                <w:szCs w:val="30"/>
                <w:lang w:val="en-US" w:eastAsia="zh-CN" w:bidi="ar"/>
              </w:rPr>
              <w:t>向阳湖国家现代农业产业园创建项目、咸安区现代农业服务中心建设项目。</w:t>
            </w:r>
          </w:p>
          <w:p w14:paraId="1E92A119">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六大产业链项目。</w:t>
            </w:r>
            <w:r>
              <w:rPr>
                <w:rFonts w:hint="default" w:ascii="Times New Roman" w:hAnsi="Times New Roman" w:eastAsia="仿宋_GB2312" w:cs="Times New Roman"/>
                <w:b w:val="0"/>
                <w:bCs w:val="0"/>
                <w:color w:val="auto"/>
                <w:kern w:val="0"/>
                <w:sz w:val="30"/>
                <w:szCs w:val="30"/>
                <w:lang w:val="en-US" w:eastAsia="zh-CN" w:bidi="ar"/>
              </w:rPr>
              <w:t>茶叶标准化基地建设</w:t>
            </w:r>
            <w:r>
              <w:rPr>
                <w:rFonts w:hint="eastAsia" w:ascii="Times New Roman" w:hAnsi="Times New Roman" w:eastAsia="仿宋_GB2312" w:cs="Times New Roman"/>
                <w:b w:val="0"/>
                <w:bCs w:val="0"/>
                <w:color w:val="auto"/>
                <w:kern w:val="0"/>
                <w:sz w:val="30"/>
                <w:szCs w:val="30"/>
                <w:lang w:val="en-US" w:eastAsia="zh-CN" w:bidi="ar"/>
              </w:rPr>
              <w:t>项目、</w:t>
            </w:r>
            <w:r>
              <w:rPr>
                <w:rFonts w:hint="default" w:ascii="Times New Roman" w:hAnsi="Times New Roman" w:eastAsia="仿宋_GB2312" w:cs="Times New Roman"/>
                <w:b w:val="0"/>
                <w:bCs w:val="0"/>
                <w:color w:val="auto"/>
                <w:kern w:val="0"/>
                <w:sz w:val="30"/>
                <w:szCs w:val="30"/>
                <w:lang w:val="en-US" w:eastAsia="zh-CN" w:bidi="ar"/>
              </w:rPr>
              <w:t>万亩中药材农业产业园基础设施建设项目、温氏黎首高效种鸡场建设项目、家禽产业强链补链项目、苎麻基地标准化生产项目</w:t>
            </w:r>
            <w:r>
              <w:rPr>
                <w:rFonts w:hint="eastAsia" w:ascii="Times New Roman" w:hAnsi="Times New Roman" w:eastAsia="仿宋_GB2312" w:cs="Times New Roman"/>
                <w:b w:val="0"/>
                <w:bCs w:val="0"/>
                <w:color w:val="auto"/>
                <w:kern w:val="0"/>
                <w:sz w:val="30"/>
                <w:szCs w:val="30"/>
                <w:lang w:val="en-US" w:eastAsia="zh-CN" w:bidi="ar"/>
              </w:rPr>
              <w:t>、</w:t>
            </w:r>
            <w:r>
              <w:rPr>
                <w:rFonts w:hint="default" w:ascii="Times New Roman" w:hAnsi="Times New Roman" w:eastAsia="仿宋_GB2312" w:cs="Times New Roman"/>
                <w:b w:val="0"/>
                <w:bCs w:val="0"/>
                <w:color w:val="auto"/>
                <w:kern w:val="0"/>
                <w:sz w:val="30"/>
                <w:szCs w:val="30"/>
                <w:lang w:val="en-US" w:eastAsia="zh-CN" w:bidi="ar"/>
              </w:rPr>
              <w:t>桂花种植基地扩建项目、桂花研究院</w:t>
            </w:r>
            <w:r>
              <w:rPr>
                <w:rFonts w:hint="eastAsia" w:ascii="Times New Roman" w:hAnsi="Times New Roman" w:eastAsia="仿宋_GB2312" w:cs="Times New Roman"/>
                <w:b w:val="0"/>
                <w:bCs w:val="0"/>
                <w:color w:val="auto"/>
                <w:kern w:val="0"/>
                <w:sz w:val="30"/>
                <w:szCs w:val="30"/>
                <w:lang w:val="en-US" w:eastAsia="zh-CN" w:bidi="ar"/>
              </w:rPr>
              <w:t>建设项目</w:t>
            </w:r>
            <w:r>
              <w:rPr>
                <w:rFonts w:hint="default" w:ascii="Times New Roman" w:hAnsi="Times New Roman" w:eastAsia="仿宋_GB2312" w:cs="Times New Roman"/>
                <w:b w:val="0"/>
                <w:bCs w:val="0"/>
                <w:color w:val="auto"/>
                <w:kern w:val="0"/>
                <w:sz w:val="30"/>
                <w:szCs w:val="30"/>
                <w:lang w:val="en-US" w:eastAsia="zh-CN" w:bidi="ar"/>
              </w:rPr>
              <w:t>、竹循环经济产业园改造升级项目、星星竹海升级项目、竹产业发展研究院项目。</w:t>
            </w:r>
          </w:p>
          <w:p w14:paraId="1D1EEEF6">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color w:val="auto"/>
                <w:sz w:val="32"/>
                <w:szCs w:val="32"/>
                <w:vertAlign w:val="baseline"/>
                <w:lang w:val="en-US" w:eastAsia="zh-CN"/>
              </w:rPr>
            </w:pPr>
            <w:r>
              <w:rPr>
                <w:rFonts w:hint="default" w:ascii="Times New Roman" w:hAnsi="Times New Roman" w:eastAsia="仿宋_GB2312" w:cs="Times New Roman"/>
                <w:b/>
                <w:bCs/>
                <w:color w:val="auto"/>
                <w:kern w:val="0"/>
                <w:sz w:val="30"/>
                <w:szCs w:val="30"/>
                <w:lang w:val="en-US" w:eastAsia="zh-CN" w:bidi="ar"/>
              </w:rPr>
              <w:t>人居环境建设项目。</w:t>
            </w:r>
            <w:r>
              <w:rPr>
                <w:rFonts w:hint="default" w:ascii="Times New Roman" w:hAnsi="Times New Roman" w:eastAsia="仿宋_GB2312" w:cs="Times New Roman"/>
                <w:b w:val="0"/>
                <w:bCs w:val="0"/>
                <w:color w:val="auto"/>
                <w:kern w:val="0"/>
                <w:sz w:val="30"/>
                <w:szCs w:val="30"/>
                <w:lang w:val="en-US" w:eastAsia="zh-CN" w:bidi="ar"/>
              </w:rPr>
              <w:t>实施农村人居环境整治提升五年行动。</w:t>
            </w:r>
          </w:p>
        </w:tc>
      </w:tr>
    </w:tbl>
    <w:p w14:paraId="3E453324">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default" w:ascii="楷体_GB2312" w:hAnsi="楷体_GB2312" w:eastAsia="楷体_GB2312" w:cs="楷体_GB2312"/>
          <w:color w:val="auto"/>
          <w:lang w:val="en-US" w:eastAsia="zh-CN"/>
        </w:rPr>
      </w:pPr>
      <w:bookmarkStart w:id="116" w:name="_Toc17150"/>
      <w:bookmarkStart w:id="117" w:name="_Toc23396"/>
      <w:r>
        <w:rPr>
          <w:rFonts w:hint="default" w:ascii="楷体_GB2312" w:hAnsi="楷体_GB2312" w:eastAsia="楷体_GB2312" w:cs="楷体_GB2312"/>
          <w:color w:val="auto"/>
          <w:lang w:val="en-US" w:eastAsia="zh-CN"/>
        </w:rPr>
        <w:t>（六）夯实经济安全根基，提升支撑能力</w:t>
      </w:r>
      <w:bookmarkEnd w:id="116"/>
      <w:bookmarkEnd w:id="117"/>
    </w:p>
    <w:p w14:paraId="6CD9C1DF">
      <w:pPr>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强化粮食和重要农产品稳产保供，加强能源资源安全保障能力建设，提升安全生产等应急管理能力，保障经济社会发展安全。</w:t>
      </w:r>
    </w:p>
    <w:p w14:paraId="16E3BEED">
      <w:pPr>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en-US" w:eastAsia="zh-CN"/>
        </w:rPr>
        <w:t>1</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color w:val="auto"/>
          <w:sz w:val="32"/>
          <w:szCs w:val="32"/>
          <w:lang w:val="en-US" w:eastAsia="zh-CN"/>
        </w:rPr>
        <w:t>强化粮食和重要农产品稳产保供</w:t>
      </w:r>
    </w:p>
    <w:p w14:paraId="538CDDF8">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严守粮食安全</w:t>
      </w:r>
      <w:r>
        <w:rPr>
          <w:rFonts w:hint="eastAsia" w:ascii="仿宋_GB2312" w:hAnsi="仿宋_GB2312" w:eastAsia="仿宋_GB2312" w:cs="仿宋_GB2312"/>
          <w:color w:val="auto"/>
          <w:sz w:val="32"/>
          <w:szCs w:val="32"/>
          <w:lang w:val="en-US" w:eastAsia="zh-CN"/>
        </w:rPr>
        <w:t>。牢守36.35万亩耕地和32.07万亩永久基本农田红线，坚决制止耕地“非农化”、永久基本农田“非粮化”，稳妥有序恢复耕地保护责任缺口，严格耕地占补平衡，实施耕地进出平衡。加强永久基本农田保护和建设，实施咸安区高标准农田建设项目、官埠桥镇紫潭村农田生态系统修复项目、向阳湖镇向阳湖花海生态修复项目等重大项目，提升耕地综合生产能力。深入实施“藏粮于地、藏粮于技”战略，稳步推进早稻和中稻生产，因地制宜扩大玉米、红薯等旱粮作物，确保</w:t>
      </w:r>
      <w:r>
        <w:rPr>
          <w:rFonts w:hint="eastAsia" w:ascii="仿宋_GB2312" w:hAnsi="仿宋_GB2312" w:eastAsia="仿宋_GB2312" w:cs="仿宋_GB2312"/>
          <w:color w:val="auto"/>
          <w:kern w:val="0"/>
          <w:sz w:val="32"/>
          <w:szCs w:val="32"/>
          <w:lang w:val="en-US" w:eastAsia="zh-CN" w:bidi="ar"/>
        </w:rPr>
        <w:t>粮食播种面积52万亩以上，</w:t>
      </w:r>
      <w:r>
        <w:rPr>
          <w:rFonts w:hint="eastAsia" w:ascii="仿宋_GB2312" w:hAnsi="仿宋_GB2312" w:eastAsia="仿宋_GB2312" w:cs="仿宋_GB2312"/>
          <w:color w:val="auto"/>
          <w:sz w:val="32"/>
          <w:szCs w:val="32"/>
          <w:lang w:val="en-US" w:eastAsia="zh-CN"/>
        </w:rPr>
        <w:t>粮食产量稳定在23万吨以上。</w:t>
      </w:r>
    </w:p>
    <w:p w14:paraId="551C13DF">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bidi="ar"/>
        </w:rPr>
        <w:t>保障“菜篮子”等重要农产品有效供给。</w:t>
      </w:r>
      <w:r>
        <w:rPr>
          <w:rFonts w:hint="eastAsia" w:ascii="仿宋_GB2312" w:hAnsi="仿宋_GB2312" w:eastAsia="仿宋_GB2312" w:cs="仿宋_GB2312"/>
          <w:color w:val="auto"/>
          <w:sz w:val="32"/>
          <w:szCs w:val="32"/>
          <w:lang w:val="en-US" w:eastAsia="zh-CN"/>
        </w:rPr>
        <w:t>继续抓好“菜篮子”示范基地建设，做好设施精细菜、露地大宗菜、特色优势菜、城郊精品菜等板块建设。以向阳湖镇、官埠桥镇、马桥镇为核心建设1万亩城郊蔬菜基地，建设向阳湖莲子种植加工观光产业园，新建标准化湘莲种植基地3万亩。提高种植基地标准化、专业化、规模化种植水平，到2025年，绿色蔬菜标准化覆盖率达到95%以上，蔬菜质量检测合格率稳定在97.5%以上。压实生猪稳产保供责任，改建新建一批标准化养殖场，确保生猪年出栏量达到60万头。推广陆基循环水养殖模式、“零排放”圈养模式等设施渔业，确保水产品产量达4.8万吨。</w:t>
      </w:r>
    </w:p>
    <w:p w14:paraId="0BE51607">
      <w:pPr>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en-US" w:eastAsia="zh-CN"/>
        </w:rPr>
        <w:t>2</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bCs/>
          <w:color w:val="auto"/>
          <w:sz w:val="32"/>
          <w:szCs w:val="32"/>
          <w:lang w:val="en-US" w:eastAsia="zh-CN"/>
        </w:rPr>
        <w:t>加强能源安全保障</w:t>
      </w:r>
    </w:p>
    <w:p w14:paraId="7C79C8FA">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推进城乡电网升级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实施10千伏及以下城乡配电网升级改造工程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进一步完善电网骨干网架，实现城乡电网协调发展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提升灵活调节能力。加强天然气应急气源站和液化天然气接收站建设，</w:t>
      </w:r>
      <w:r>
        <w:rPr>
          <w:rFonts w:hint="eastAsia" w:ascii="仿宋_GB2312" w:hAnsi="仿宋_GB2312" w:eastAsia="仿宋_GB2312" w:cs="仿宋_GB2312"/>
          <w:color w:val="auto"/>
          <w:sz w:val="32"/>
          <w:szCs w:val="32"/>
          <w:lang w:val="en-US" w:eastAsia="zh-CN"/>
        </w:rPr>
        <w:t>推进咸宁润安液化石油气储配站工程、</w:t>
      </w:r>
      <w:r>
        <w:rPr>
          <w:rFonts w:hint="eastAsia" w:ascii="仿宋_GB2312" w:hAnsi="仿宋_GB2312" w:eastAsia="仿宋_GB2312" w:cs="仿宋_GB2312"/>
          <w:color w:val="auto"/>
          <w:sz w:val="32"/>
          <w:szCs w:val="32"/>
        </w:rPr>
        <w:t>咸安区液化气供气基础设施提升工程。</w:t>
      </w:r>
      <w:r>
        <w:rPr>
          <w:rFonts w:hint="eastAsia" w:ascii="仿宋_GB2312" w:hAnsi="仿宋_GB2312" w:eastAsia="仿宋_GB2312" w:cs="仿宋_GB2312"/>
          <w:color w:val="auto"/>
          <w:sz w:val="32"/>
          <w:szCs w:val="32"/>
          <w:lang w:val="en-US" w:eastAsia="zh-CN"/>
        </w:rPr>
        <w:t>加快推进</w:t>
      </w:r>
      <w:r>
        <w:rPr>
          <w:rFonts w:hint="eastAsia" w:ascii="仿宋_GB2312" w:hAnsi="仿宋_GB2312" w:eastAsia="仿宋_GB2312" w:cs="仿宋_GB2312"/>
          <w:color w:val="auto"/>
          <w:sz w:val="32"/>
          <w:szCs w:val="32"/>
        </w:rPr>
        <w:t>咸宁城发石化有限公司翠竹东加油站</w:t>
      </w:r>
      <w:r>
        <w:rPr>
          <w:rFonts w:hint="eastAsia" w:ascii="仿宋_GB2312" w:hAnsi="仿宋_GB2312" w:eastAsia="仿宋_GB2312" w:cs="仿宋_GB2312"/>
          <w:color w:val="auto"/>
          <w:sz w:val="32"/>
          <w:szCs w:val="32"/>
          <w:lang w:val="en-US" w:eastAsia="zh-CN"/>
        </w:rPr>
        <w:t>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推动成品油库、加油站和输油管网建设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发展新能源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支持太阳能、风能、生物质能等新能源项目建设。在咸安经济开发区等负荷中心及其周边地区，</w:t>
      </w:r>
      <w:r>
        <w:rPr>
          <w:rFonts w:hint="eastAsia" w:ascii="仿宋_GB2312" w:hAnsi="仿宋_GB2312" w:eastAsia="仿宋_GB2312" w:cs="仿宋_GB2312"/>
          <w:color w:val="auto"/>
          <w:sz w:val="32"/>
          <w:szCs w:val="32"/>
          <w:lang w:val="en-US" w:eastAsia="zh-CN"/>
        </w:rPr>
        <w:t>开展</w:t>
      </w:r>
      <w:r>
        <w:rPr>
          <w:rFonts w:hint="eastAsia" w:ascii="仿宋_GB2312" w:hAnsi="仿宋_GB2312" w:eastAsia="仿宋_GB2312" w:cs="仿宋_GB2312"/>
          <w:color w:val="auto"/>
          <w:sz w:val="32"/>
          <w:szCs w:val="32"/>
        </w:rPr>
        <w:t>分布式光伏发电</w:t>
      </w:r>
      <w:r>
        <w:rPr>
          <w:rFonts w:hint="eastAsia" w:ascii="仿宋_GB2312" w:hAnsi="仿宋_GB2312" w:eastAsia="仿宋_GB2312" w:cs="仿宋_GB2312"/>
          <w:color w:val="auto"/>
          <w:sz w:val="32"/>
          <w:szCs w:val="32"/>
          <w:lang w:eastAsia="zh-CN"/>
        </w:rPr>
        <w:t>。</w:t>
      </w:r>
    </w:p>
    <w:p w14:paraId="2A4C3F83">
      <w:pPr>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en-US" w:eastAsia="zh-CN"/>
        </w:rPr>
        <w:t>3</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color w:val="auto"/>
          <w:sz w:val="32"/>
          <w:szCs w:val="32"/>
          <w:lang w:val="en-US" w:eastAsia="zh-CN"/>
        </w:rPr>
        <w:t>提升应急管理能力</w:t>
      </w:r>
    </w:p>
    <w:p w14:paraId="56684570">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健全领导指挥体制，健全市区乡分级响应机制，明确各级各类灾害事故响应程序，进一步理顺指挥机制。完善应急管理责任制，严格落实党政领导责任、行业部门防治责任和企业主体责任，切实落实重大安全风险防控责任。完善应急部门协同、区域协同机制，加强市内毗邻区域重大风险的联防联控。提升安全生产能力，开展安全生产风险隐患排查，开展危险废物、建筑施工、特种设备、商贸（成品油）、城镇燃气、地质灾害、油气长输管线等专项安全整治活动，继续保持良好稳定的安全生产形势。完善应急救援体系，提高应对突发事件的能力。</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2D0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B70A89F">
            <w:pPr>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仿宋_GB2312" w:cs="Times New Roman"/>
                <w:b w:val="0"/>
                <w:bCs w:val="0"/>
                <w:color w:val="auto"/>
                <w:sz w:val="32"/>
                <w:szCs w:val="32"/>
                <w:vertAlign w:val="baseline"/>
                <w:lang w:val="en-US" w:eastAsia="zh-CN"/>
              </w:rPr>
            </w:pPr>
            <w:r>
              <w:rPr>
                <w:rFonts w:hint="default" w:ascii="Times New Roman" w:hAnsi="Times New Roman" w:eastAsia="楷体_GB2312" w:cs="Times New Roman"/>
                <w:b/>
                <w:bCs/>
                <w:color w:val="auto"/>
                <w:sz w:val="32"/>
                <w:szCs w:val="32"/>
                <w:vertAlign w:val="baseline"/>
                <w:lang w:val="en-US" w:eastAsia="zh-CN"/>
              </w:rPr>
              <w:t>专栏6  经济安全领域重大项目</w:t>
            </w:r>
          </w:p>
        </w:tc>
      </w:tr>
      <w:tr w14:paraId="3C47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71596BC">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粮食和重要农产品安全项目</w:t>
            </w:r>
            <w:r>
              <w:rPr>
                <w:rFonts w:hint="default" w:ascii="Times New Roman" w:hAnsi="Times New Roman" w:eastAsia="仿宋_GB2312" w:cs="Times New Roman"/>
                <w:b w:val="0"/>
                <w:bCs w:val="0"/>
                <w:color w:val="auto"/>
                <w:kern w:val="0"/>
                <w:sz w:val="30"/>
                <w:szCs w:val="30"/>
                <w:lang w:val="en-US" w:eastAsia="zh-CN" w:bidi="ar"/>
              </w:rPr>
              <w:t>。高标准农田建设项目、城郊蔬</w:t>
            </w:r>
            <w:r>
              <w:rPr>
                <w:rFonts w:hint="eastAsia" w:ascii="Times New Roman" w:hAnsi="Times New Roman" w:eastAsia="仿宋_GB2312" w:cs="Times New Roman"/>
                <w:b w:val="0"/>
                <w:bCs w:val="0"/>
                <w:color w:val="auto"/>
                <w:kern w:val="0"/>
                <w:sz w:val="30"/>
                <w:szCs w:val="30"/>
                <w:lang w:val="en-US" w:eastAsia="zh-CN" w:bidi="ar"/>
              </w:rPr>
              <w:t>菜</w:t>
            </w:r>
            <w:r>
              <w:rPr>
                <w:rFonts w:hint="default" w:ascii="Times New Roman" w:hAnsi="Times New Roman" w:eastAsia="仿宋_GB2312" w:cs="Times New Roman"/>
                <w:b w:val="0"/>
                <w:bCs w:val="0"/>
                <w:color w:val="auto"/>
                <w:kern w:val="0"/>
                <w:sz w:val="30"/>
                <w:szCs w:val="30"/>
                <w:lang w:val="en-US" w:eastAsia="zh-CN" w:bidi="ar"/>
              </w:rPr>
              <w:t>基地建设项目、标准化湘莲种植基地项目、规模猪场绿色高效升级改造项目。</w:t>
            </w:r>
          </w:p>
          <w:p w14:paraId="22AD89D7">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能源安全项目</w:t>
            </w:r>
            <w:r>
              <w:rPr>
                <w:rFonts w:hint="default" w:ascii="Times New Roman" w:hAnsi="Times New Roman" w:eastAsia="仿宋_GB2312" w:cs="Times New Roman"/>
                <w:b w:val="0"/>
                <w:bCs w:val="0"/>
                <w:color w:val="auto"/>
                <w:kern w:val="0"/>
                <w:sz w:val="30"/>
                <w:szCs w:val="30"/>
                <w:lang w:val="en-US" w:eastAsia="zh-CN" w:bidi="ar"/>
              </w:rPr>
              <w:t>。10千伏及以下城乡配电网升级改造工程、咸宁润安液化石油气储配站工程、咸安区液化气供气基础设施提升工程、咸宁城发石化有限公司翠竹东加油站项目、华能星泽咸宁黄荆塘150MW渔光互补光伏发电项目。</w:t>
            </w:r>
          </w:p>
          <w:p w14:paraId="590FF71D">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sz w:val="32"/>
                <w:szCs w:val="32"/>
                <w:vertAlign w:val="baseline"/>
                <w:lang w:val="en-US" w:eastAsia="zh-CN"/>
              </w:rPr>
            </w:pPr>
            <w:r>
              <w:rPr>
                <w:rFonts w:hint="default" w:ascii="Times New Roman" w:hAnsi="Times New Roman" w:eastAsia="仿宋_GB2312" w:cs="Times New Roman"/>
                <w:b/>
                <w:bCs/>
                <w:color w:val="auto"/>
                <w:kern w:val="0"/>
                <w:sz w:val="30"/>
                <w:szCs w:val="30"/>
                <w:lang w:val="en-US" w:eastAsia="zh-CN" w:bidi="ar"/>
              </w:rPr>
              <w:t>应急管理项目</w:t>
            </w:r>
            <w:r>
              <w:rPr>
                <w:rFonts w:hint="default" w:ascii="Times New Roman" w:hAnsi="Times New Roman" w:eastAsia="仿宋_GB2312" w:cs="Times New Roman"/>
                <w:b w:val="0"/>
                <w:bCs w:val="0"/>
                <w:color w:val="auto"/>
                <w:kern w:val="0"/>
                <w:sz w:val="30"/>
                <w:szCs w:val="30"/>
                <w:lang w:val="en-US" w:eastAsia="zh-CN" w:bidi="ar"/>
              </w:rPr>
              <w:t>。区级应急救灾物资储备库建设项目、应急管理信息化建设项目。</w:t>
            </w:r>
          </w:p>
        </w:tc>
      </w:tr>
    </w:tbl>
    <w:p w14:paraId="02FE2125">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val="en-US" w:eastAsia="zh-CN"/>
        </w:rPr>
      </w:pPr>
      <w:bookmarkStart w:id="118" w:name="_Toc7949"/>
      <w:bookmarkStart w:id="119" w:name="_Toc5457"/>
      <w:r>
        <w:rPr>
          <w:rFonts w:hint="eastAsia" w:ascii="楷体_GB2312" w:hAnsi="楷体_GB2312" w:eastAsia="楷体_GB2312" w:cs="楷体_GB2312"/>
          <w:color w:val="auto"/>
          <w:lang w:val="en-US" w:eastAsia="zh-CN"/>
        </w:rPr>
        <w:t>（七）深化改革开放，打造“营商环境”首善之区</w:t>
      </w:r>
      <w:bookmarkEnd w:id="118"/>
      <w:bookmarkEnd w:id="119"/>
    </w:p>
    <w:p w14:paraId="5147FF9E">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以控制成本为核心优化营商环境，更大力度激发市场活力和社会创造力，不断拓展对外开放的领域、空间和层次。</w:t>
      </w:r>
    </w:p>
    <w:p w14:paraId="2510F952">
      <w:pPr>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bCs/>
          <w:color w:val="auto"/>
          <w:sz w:val="32"/>
          <w:szCs w:val="32"/>
          <w:lang w:val="en-US" w:eastAsia="zh-CN"/>
        </w:rPr>
        <w:t>优化营商环境</w:t>
      </w:r>
    </w:p>
    <w:p w14:paraId="55F72A7D">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以控制成本为核心</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优化市场环境、政务环境、开放环境和法治环境，</w:t>
      </w:r>
      <w:r>
        <w:rPr>
          <w:rFonts w:hint="eastAsia" w:ascii="仿宋_GB2312" w:hAnsi="仿宋_GB2312" w:eastAsia="仿宋_GB2312" w:cs="仿宋_GB2312"/>
          <w:b w:val="0"/>
          <w:bCs w:val="0"/>
          <w:color w:val="auto"/>
          <w:sz w:val="32"/>
          <w:szCs w:val="32"/>
          <w:lang w:val="en-US" w:eastAsia="zh-CN"/>
        </w:rPr>
        <w:t>为企业降低中介成本、用能成本、融资成本、用地成本、物流成本、税费成本，打造咸安营商环境金字招牌，</w:t>
      </w:r>
      <w:r>
        <w:rPr>
          <w:rFonts w:hint="eastAsia" w:ascii="仿宋_GB2312" w:hAnsi="仿宋_GB2312" w:eastAsia="仿宋_GB2312" w:cs="仿宋_GB2312"/>
          <w:color w:val="auto"/>
          <w:sz w:val="32"/>
          <w:szCs w:val="32"/>
        </w:rPr>
        <w:t>力争到2025年市场主体达到</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万户</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bCs/>
          <w:color w:val="auto"/>
          <w:sz w:val="32"/>
          <w:szCs w:val="32"/>
          <w:lang w:val="en-US" w:eastAsia="zh-CN"/>
        </w:rPr>
        <w:t>优化</w:t>
      </w:r>
      <w:r>
        <w:rPr>
          <w:rFonts w:hint="eastAsia" w:ascii="仿宋_GB2312" w:hAnsi="仿宋_GB2312" w:eastAsia="仿宋_GB2312" w:cs="仿宋_GB2312"/>
          <w:b/>
          <w:bCs/>
          <w:color w:val="auto"/>
          <w:sz w:val="32"/>
          <w:szCs w:val="32"/>
        </w:rPr>
        <w:t>宽松有序的市场环境</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完善</w:t>
      </w:r>
      <w:r>
        <w:rPr>
          <w:rFonts w:hint="eastAsia" w:ascii="仿宋_GB2312" w:hAnsi="仿宋_GB2312" w:eastAsia="仿宋_GB2312" w:cs="仿宋_GB2312"/>
          <w:color w:val="auto"/>
          <w:sz w:val="32"/>
          <w:szCs w:val="32"/>
        </w:rPr>
        <w:t>告知承诺制，扩大“免证明”应用领域</w:t>
      </w:r>
      <w:r>
        <w:rPr>
          <w:rFonts w:hint="eastAsia" w:ascii="仿宋_GB2312" w:hAnsi="仿宋_GB2312" w:eastAsia="仿宋_GB2312" w:cs="仿宋_GB2312"/>
          <w:color w:val="auto"/>
          <w:sz w:val="32"/>
          <w:szCs w:val="32"/>
          <w:lang w:eastAsia="zh-CN"/>
        </w:rPr>
        <w:t>，持续规范中介服务</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b/>
          <w:bCs/>
          <w:color w:val="auto"/>
          <w:sz w:val="32"/>
          <w:szCs w:val="32"/>
          <w:lang w:val="en-US" w:eastAsia="zh-CN"/>
        </w:rPr>
        <w:t>优化</w:t>
      </w:r>
      <w:r>
        <w:rPr>
          <w:rStyle w:val="21"/>
          <w:rFonts w:hint="eastAsia" w:ascii="仿宋_GB2312" w:hAnsi="仿宋_GB2312" w:eastAsia="仿宋_GB2312" w:cs="仿宋_GB2312"/>
          <w:i w:val="0"/>
          <w:iCs w:val="0"/>
          <w:caps w:val="0"/>
          <w:color w:val="auto"/>
          <w:spacing w:val="0"/>
          <w:sz w:val="32"/>
          <w:szCs w:val="32"/>
          <w:shd w:val="clear" w:fill="FFFFFF"/>
        </w:rPr>
        <w:t>廉洁高效的政务环境</w:t>
      </w:r>
      <w:r>
        <w:rPr>
          <w:rStyle w:val="21"/>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深化“放管服”改革，加强数字政务建设，拓展单一窗口平台“通关+物流”“外贸+金融”功能。提升政务服务效能，</w:t>
      </w:r>
      <w:r>
        <w:rPr>
          <w:rFonts w:hint="eastAsia" w:ascii="仿宋_GB2312" w:hAnsi="仿宋_GB2312" w:eastAsia="仿宋_GB2312" w:cs="仿宋_GB2312"/>
          <w:i w:val="0"/>
          <w:iCs w:val="0"/>
          <w:caps w:val="0"/>
          <w:color w:val="auto"/>
          <w:spacing w:val="0"/>
          <w:sz w:val="32"/>
          <w:szCs w:val="32"/>
          <w:shd w:val="clear" w:fill="FFFFFF"/>
          <w:lang w:eastAsia="zh-CN"/>
        </w:rPr>
        <w:t>大力推行“首席服务员”制度，</w:t>
      </w:r>
      <w:r>
        <w:rPr>
          <w:rFonts w:hint="eastAsia" w:ascii="仿宋_GB2312" w:hAnsi="仿宋_GB2312" w:eastAsia="仿宋_GB2312" w:cs="仿宋_GB2312"/>
          <w:i w:val="0"/>
          <w:iCs w:val="0"/>
          <w:caps w:val="0"/>
          <w:color w:val="auto"/>
          <w:spacing w:val="0"/>
          <w:sz w:val="32"/>
          <w:szCs w:val="32"/>
          <w:shd w:val="clear" w:fill="FFFFFF"/>
        </w:rPr>
        <w:t>着力打好减税降费“组合拳”</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打造涉企保证金最优地区</w:t>
      </w:r>
      <w:r>
        <w:rPr>
          <w:rFonts w:hint="eastAsia" w:ascii="仿宋_GB2312" w:hAnsi="仿宋_GB2312" w:eastAsia="仿宋_GB2312" w:cs="仿宋_GB2312"/>
          <w:i w:val="0"/>
          <w:iCs w:val="0"/>
          <w:caps w:val="0"/>
          <w:color w:val="auto"/>
          <w:spacing w:val="0"/>
          <w:sz w:val="32"/>
          <w:szCs w:val="32"/>
          <w:shd w:val="clear" w:fill="FFFFFF"/>
          <w:lang w:eastAsia="zh-CN"/>
        </w:rPr>
        <w:t>，推广“非接触式”办税，</w:t>
      </w:r>
      <w:r>
        <w:rPr>
          <w:rFonts w:hint="eastAsia" w:ascii="仿宋_GB2312" w:hAnsi="仿宋_GB2312" w:eastAsia="仿宋_GB2312" w:cs="仿宋_GB2312"/>
          <w:i w:val="0"/>
          <w:iCs w:val="0"/>
          <w:caps w:val="0"/>
          <w:color w:val="auto"/>
          <w:spacing w:val="0"/>
          <w:sz w:val="32"/>
          <w:szCs w:val="32"/>
          <w:shd w:val="clear" w:fill="FFFFFF"/>
        </w:rPr>
        <w:t>做到“无事不扰、有求必应”。</w:t>
      </w:r>
      <w:r>
        <w:rPr>
          <w:rStyle w:val="21"/>
          <w:rFonts w:hint="eastAsia" w:ascii="仿宋_GB2312" w:hAnsi="仿宋_GB2312" w:eastAsia="仿宋_GB2312" w:cs="仿宋_GB2312"/>
          <w:i w:val="0"/>
          <w:iCs w:val="0"/>
          <w:caps w:val="0"/>
          <w:color w:val="auto"/>
          <w:spacing w:val="0"/>
          <w:sz w:val="32"/>
          <w:szCs w:val="32"/>
          <w:shd w:val="clear" w:fill="FFFFFF"/>
          <w:lang w:val="en-US" w:eastAsia="zh-CN"/>
        </w:rPr>
        <w:t>优化</w:t>
      </w:r>
      <w:r>
        <w:rPr>
          <w:rStyle w:val="21"/>
          <w:rFonts w:hint="eastAsia" w:ascii="仿宋_GB2312" w:hAnsi="仿宋_GB2312" w:eastAsia="仿宋_GB2312" w:cs="仿宋_GB2312"/>
          <w:i w:val="0"/>
          <w:iCs w:val="0"/>
          <w:caps w:val="0"/>
          <w:color w:val="auto"/>
          <w:spacing w:val="0"/>
          <w:sz w:val="32"/>
          <w:szCs w:val="32"/>
          <w:shd w:val="clear" w:fill="FFFFFF"/>
        </w:rPr>
        <w:t>自由便利的开放环境</w:t>
      </w:r>
      <w:r>
        <w:rPr>
          <w:rStyle w:val="21"/>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强化“单一窗口”功能，支持和鼓励更多银行通过“单一窗口”平台为企业办理线上贸易外汇收支业务</w:t>
      </w:r>
      <w:r>
        <w:rPr>
          <w:rFonts w:hint="eastAsia" w:ascii="仿宋_GB2312" w:hAnsi="仿宋_GB2312" w:eastAsia="仿宋_GB2312" w:cs="仿宋_GB2312"/>
          <w:i w:val="0"/>
          <w:iCs w:val="0"/>
          <w:caps w:val="0"/>
          <w:color w:val="auto"/>
          <w:spacing w:val="0"/>
          <w:sz w:val="32"/>
          <w:szCs w:val="32"/>
          <w:shd w:val="clear" w:fill="FFFFFF"/>
          <w:lang w:val="en-US" w:eastAsia="zh-CN"/>
        </w:rPr>
        <w:t>，</w:t>
      </w:r>
      <w:r>
        <w:rPr>
          <w:rFonts w:hint="eastAsia" w:ascii="仿宋_GB2312" w:hAnsi="仿宋_GB2312" w:eastAsia="仿宋_GB2312" w:cs="仿宋_GB2312"/>
          <w:i w:val="0"/>
          <w:iCs w:val="0"/>
          <w:caps w:val="0"/>
          <w:color w:val="auto"/>
          <w:spacing w:val="0"/>
          <w:sz w:val="32"/>
          <w:szCs w:val="32"/>
          <w:shd w:val="clear" w:fill="FFFFFF"/>
        </w:rPr>
        <w:t>促进投资贸易便利化</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完善外商投资促进、保护、管理、服务机制，推动更高水平对外开放。</w:t>
      </w:r>
      <w:r>
        <w:rPr>
          <w:rStyle w:val="21"/>
          <w:rFonts w:hint="eastAsia" w:ascii="仿宋_GB2312" w:hAnsi="仿宋_GB2312" w:eastAsia="仿宋_GB2312" w:cs="仿宋_GB2312"/>
          <w:i w:val="0"/>
          <w:iCs w:val="0"/>
          <w:caps w:val="0"/>
          <w:color w:val="auto"/>
          <w:spacing w:val="0"/>
          <w:sz w:val="32"/>
          <w:szCs w:val="32"/>
          <w:shd w:val="clear" w:fill="FFFFFF"/>
          <w:lang w:val="en-US" w:eastAsia="zh-CN"/>
        </w:rPr>
        <w:t>优化</w:t>
      </w:r>
      <w:r>
        <w:rPr>
          <w:rStyle w:val="21"/>
          <w:rFonts w:hint="eastAsia" w:ascii="仿宋_GB2312" w:hAnsi="仿宋_GB2312" w:eastAsia="仿宋_GB2312" w:cs="仿宋_GB2312"/>
          <w:i w:val="0"/>
          <w:iCs w:val="0"/>
          <w:caps w:val="0"/>
          <w:color w:val="auto"/>
          <w:spacing w:val="0"/>
          <w:sz w:val="32"/>
          <w:szCs w:val="32"/>
          <w:shd w:val="clear" w:fill="FFFFFF"/>
        </w:rPr>
        <w:t>公平公正的法治环境</w:t>
      </w:r>
      <w:r>
        <w:rPr>
          <w:rStyle w:val="21"/>
          <w:rFonts w:hint="eastAsia" w:ascii="仿宋_GB2312" w:hAnsi="仿宋_GB2312" w:eastAsia="仿宋_GB2312" w:cs="仿宋_GB2312"/>
          <w:i w:val="0"/>
          <w:iCs w:val="0"/>
          <w:caps w:val="0"/>
          <w:color w:val="auto"/>
          <w:spacing w:val="0"/>
          <w:sz w:val="32"/>
          <w:szCs w:val="32"/>
          <w:shd w:val="clear" w:fill="FFFFFF"/>
          <w:lang w:eastAsia="zh-CN"/>
        </w:rPr>
        <w:t>，</w:t>
      </w:r>
      <w:r>
        <w:rPr>
          <w:rStyle w:val="21"/>
          <w:rFonts w:hint="eastAsia" w:ascii="仿宋_GB2312" w:hAnsi="仿宋_GB2312" w:eastAsia="仿宋_GB2312" w:cs="仿宋_GB2312"/>
          <w:b w:val="0"/>
          <w:bCs w:val="0"/>
          <w:i w:val="0"/>
          <w:iCs w:val="0"/>
          <w:caps w:val="0"/>
          <w:color w:val="auto"/>
          <w:spacing w:val="0"/>
          <w:sz w:val="32"/>
          <w:szCs w:val="32"/>
          <w:shd w:val="clear" w:fill="FFFFFF"/>
        </w:rPr>
        <w:t>推行规范柔性执法</w:t>
      </w:r>
      <w:r>
        <w:rPr>
          <w:rStyle w:val="21"/>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Style w:val="21"/>
          <w:rFonts w:hint="eastAsia" w:ascii="仿宋_GB2312" w:hAnsi="仿宋_GB2312" w:eastAsia="仿宋_GB2312" w:cs="仿宋_GB2312"/>
          <w:b w:val="0"/>
          <w:bCs w:val="0"/>
          <w:i w:val="0"/>
          <w:iCs w:val="0"/>
          <w:caps w:val="0"/>
          <w:color w:val="auto"/>
          <w:spacing w:val="0"/>
          <w:sz w:val="32"/>
          <w:szCs w:val="32"/>
          <w:shd w:val="clear" w:fill="FFFFFF"/>
        </w:rPr>
        <w:t>持续开展“三乱”专项整治行动</w:t>
      </w:r>
      <w:r>
        <w:rPr>
          <w:rStyle w:val="21"/>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Style w:val="21"/>
          <w:rFonts w:hint="eastAsia" w:ascii="仿宋_GB2312" w:hAnsi="仿宋_GB2312" w:eastAsia="仿宋_GB2312" w:cs="仿宋_GB2312"/>
          <w:b w:val="0"/>
          <w:bCs w:val="0"/>
          <w:i w:val="0"/>
          <w:iCs w:val="0"/>
          <w:caps w:val="0"/>
          <w:color w:val="auto"/>
          <w:spacing w:val="0"/>
          <w:sz w:val="32"/>
          <w:szCs w:val="32"/>
          <w:shd w:val="clear" w:fill="FFFFFF"/>
        </w:rPr>
        <w:t>完善涉市场主体案件办理机制</w:t>
      </w:r>
      <w:r>
        <w:rPr>
          <w:rStyle w:val="21"/>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Style w:val="21"/>
          <w:rFonts w:hint="eastAsia" w:ascii="仿宋_GB2312" w:hAnsi="仿宋_GB2312" w:eastAsia="仿宋_GB2312" w:cs="仿宋_GB2312"/>
          <w:b w:val="0"/>
          <w:bCs w:val="0"/>
          <w:i w:val="0"/>
          <w:iCs w:val="0"/>
          <w:caps w:val="0"/>
          <w:color w:val="auto"/>
          <w:spacing w:val="0"/>
          <w:sz w:val="32"/>
          <w:szCs w:val="32"/>
          <w:shd w:val="clear" w:fill="FFFFFF"/>
        </w:rPr>
        <w:t>严格落实涉企案件经济影响评估制度</w:t>
      </w:r>
      <w:r>
        <w:rPr>
          <w:rStyle w:val="21"/>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Style w:val="21"/>
          <w:rFonts w:hint="eastAsia" w:ascii="仿宋_GB2312" w:hAnsi="仿宋_GB2312" w:eastAsia="仿宋_GB2312" w:cs="仿宋_GB2312"/>
          <w:b w:val="0"/>
          <w:bCs w:val="0"/>
          <w:i w:val="0"/>
          <w:iCs w:val="0"/>
          <w:caps w:val="0"/>
          <w:color w:val="auto"/>
          <w:spacing w:val="0"/>
          <w:sz w:val="32"/>
          <w:szCs w:val="32"/>
          <w:shd w:val="clear" w:fill="FFFFFF"/>
        </w:rPr>
        <w:t>进一步推进落实涉案企业合规改革</w:t>
      </w:r>
      <w:r>
        <w:rPr>
          <w:rStyle w:val="21"/>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Style w:val="21"/>
          <w:rFonts w:hint="eastAsia" w:ascii="仿宋_GB2312" w:hAnsi="仿宋_GB2312" w:eastAsia="仿宋_GB2312" w:cs="仿宋_GB2312"/>
          <w:b w:val="0"/>
          <w:bCs w:val="0"/>
          <w:i w:val="0"/>
          <w:iCs w:val="0"/>
          <w:caps w:val="0"/>
          <w:color w:val="auto"/>
          <w:spacing w:val="0"/>
          <w:sz w:val="32"/>
          <w:szCs w:val="32"/>
          <w:shd w:val="clear" w:fill="FFFFFF"/>
        </w:rPr>
        <w:t>完善保障中小企业款项支付机制</w:t>
      </w:r>
      <w:r>
        <w:rPr>
          <w:rStyle w:val="21"/>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Style w:val="21"/>
          <w:rFonts w:hint="eastAsia" w:ascii="仿宋_GB2312" w:hAnsi="仿宋_GB2312" w:eastAsia="仿宋_GB2312" w:cs="仿宋_GB2312"/>
          <w:b w:val="0"/>
          <w:bCs w:val="0"/>
          <w:i w:val="0"/>
          <w:iCs w:val="0"/>
          <w:caps w:val="0"/>
          <w:color w:val="auto"/>
          <w:spacing w:val="0"/>
          <w:sz w:val="32"/>
          <w:szCs w:val="32"/>
          <w:shd w:val="clear" w:fill="FFFFFF"/>
        </w:rPr>
        <w:t>探索建立企业合法权益补偿救济机制</w:t>
      </w:r>
      <w:r>
        <w:rPr>
          <w:rStyle w:val="21"/>
          <w:rFonts w:hint="eastAsia" w:ascii="仿宋_GB2312" w:hAnsi="仿宋_GB2312" w:eastAsia="仿宋_GB2312" w:cs="仿宋_GB2312"/>
          <w:b w:val="0"/>
          <w:bCs w:val="0"/>
          <w:i w:val="0"/>
          <w:iCs w:val="0"/>
          <w:caps w:val="0"/>
          <w:color w:val="auto"/>
          <w:spacing w:val="0"/>
          <w:sz w:val="32"/>
          <w:szCs w:val="32"/>
          <w:shd w:val="clear" w:fill="FFFFFF"/>
          <w:lang w:eastAsia="zh-CN"/>
        </w:rPr>
        <w:t>。</w:t>
      </w:r>
    </w:p>
    <w:p w14:paraId="1A3C1651">
      <w:pPr>
        <w:pageBreakBefore w:val="0"/>
        <w:widowControl w:val="0"/>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lang w:val="en-US" w:eastAsia="zh-CN"/>
        </w:rPr>
        <w:t>2</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b/>
          <w:color w:val="auto"/>
          <w:sz w:val="32"/>
          <w:szCs w:val="32"/>
          <w:lang w:val="en-US" w:eastAsia="zh-CN"/>
        </w:rPr>
        <w:t>壮大开放型经济</w:t>
      </w:r>
    </w:p>
    <w:p w14:paraId="7C3C0624">
      <w:pPr>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color w:val="auto"/>
          <w:sz w:val="32"/>
          <w:szCs w:val="32"/>
          <w:lang w:val="en-US" w:eastAsia="zh-CN"/>
        </w:rPr>
        <w:t>深入推进武咸同城。</w:t>
      </w:r>
      <w:r>
        <w:rPr>
          <w:rFonts w:hint="eastAsia" w:ascii="仿宋_GB2312" w:hAnsi="仿宋_GB2312" w:eastAsia="仿宋_GB2312" w:cs="仿宋_GB2312"/>
          <w:b/>
          <w:bCs/>
          <w:color w:val="auto"/>
          <w:sz w:val="32"/>
          <w:szCs w:val="32"/>
          <w:lang w:val="en-US" w:eastAsia="zh-CN"/>
        </w:rPr>
        <w:t>推进交通互联互通，</w:t>
      </w:r>
      <w:r>
        <w:rPr>
          <w:rFonts w:hint="eastAsia" w:ascii="仿宋_GB2312" w:hAnsi="仿宋_GB2312" w:eastAsia="仿宋_GB2312" w:cs="仿宋_GB2312"/>
          <w:b w:val="0"/>
          <w:bCs w:val="0"/>
          <w:color w:val="auto"/>
          <w:sz w:val="32"/>
          <w:szCs w:val="32"/>
          <w:lang w:val="en-US" w:eastAsia="zh-CN"/>
        </w:rPr>
        <w:t>配合推进</w:t>
      </w:r>
      <w:r>
        <w:rPr>
          <w:rFonts w:hint="eastAsia" w:ascii="仿宋_GB2312" w:hAnsi="仿宋_GB2312" w:eastAsia="仿宋_GB2312" w:cs="仿宋_GB2312"/>
          <w:color w:val="auto"/>
          <w:lang w:val="en-US" w:eastAsia="zh-CN"/>
        </w:rPr>
        <w:t>武咸快速通道天子山大桥项目进度，推进咸宁长江综合门户港及公铁水联运项目建设，加快推进咸宁铁路货场搬迁和咸宁国际陆港、横沟至嘉鱼潘家湾通港铁路专用线、咸宁至黄石货运铁路、兰郑长输油管道迁改等</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lang w:val="en-US" w:eastAsia="zh-CN"/>
        </w:rPr>
        <w:t>推进区域产业协作</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lang w:val="en-US" w:eastAsia="zh-CN"/>
        </w:rPr>
        <w:t>积极融入光谷科创大走廊，</w:t>
      </w:r>
      <w:r>
        <w:rPr>
          <w:rFonts w:hint="eastAsia" w:ascii="仿宋_GB2312" w:hAnsi="仿宋_GB2312" w:eastAsia="仿宋_GB2312" w:cs="仿宋_GB2312"/>
          <w:color w:val="auto"/>
          <w:kern w:val="0"/>
          <w:sz w:val="32"/>
          <w:szCs w:val="32"/>
          <w:lang w:val="en-US" w:eastAsia="zh-CN" w:bidi="ar"/>
        </w:rPr>
        <w:t>建立“链长+链主+链创”的产业链招商机制，主动承接武汉等地区产业转移，推动中国光谷咸宁生物医药产业园、咸安（武汉）离岸科创园等武咸同城项目建设</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lang w:val="en-US" w:eastAsia="zh-CN"/>
        </w:rPr>
        <w:t>提升咸安区产业配套能力，打造武汉功能拓展重要承载区和产业转移新高地。</w:t>
      </w:r>
      <w:r>
        <w:rPr>
          <w:rFonts w:hint="eastAsia" w:ascii="仿宋_GB2312" w:hAnsi="仿宋_GB2312" w:eastAsia="仿宋_GB2312" w:cs="仿宋_GB2312"/>
          <w:color w:val="auto"/>
          <w:sz w:val="32"/>
          <w:szCs w:val="32"/>
        </w:rPr>
        <w:t>积极</w:t>
      </w:r>
      <w:r>
        <w:rPr>
          <w:rFonts w:hint="eastAsia" w:ascii="仿宋_GB2312" w:hAnsi="仿宋_GB2312" w:eastAsia="仿宋_GB2312" w:cs="仿宋_GB2312"/>
          <w:color w:val="auto"/>
          <w:sz w:val="32"/>
          <w:szCs w:val="32"/>
          <w:lang w:val="en-US" w:eastAsia="zh-CN"/>
        </w:rPr>
        <w:t>组织</w:t>
      </w:r>
      <w:r>
        <w:rPr>
          <w:rFonts w:hint="eastAsia" w:ascii="仿宋_GB2312" w:hAnsi="仿宋_GB2312" w:eastAsia="仿宋_GB2312" w:cs="仿宋_GB2312"/>
          <w:color w:val="auto"/>
          <w:sz w:val="32"/>
          <w:szCs w:val="32"/>
        </w:rPr>
        <w:t>企业参加在</w:t>
      </w:r>
      <w:r>
        <w:rPr>
          <w:rFonts w:hint="eastAsia" w:ascii="仿宋_GB2312" w:hAnsi="仿宋_GB2312" w:eastAsia="仿宋_GB2312" w:cs="仿宋_GB2312"/>
          <w:color w:val="auto"/>
          <w:sz w:val="32"/>
          <w:szCs w:val="32"/>
          <w:lang w:val="en-US" w:eastAsia="zh-CN"/>
        </w:rPr>
        <w:t>武</w:t>
      </w:r>
      <w:r>
        <w:rPr>
          <w:rFonts w:hint="eastAsia" w:ascii="仿宋_GB2312" w:hAnsi="仿宋_GB2312" w:eastAsia="仿宋_GB2312" w:cs="仿宋_GB2312"/>
          <w:color w:val="auto"/>
          <w:sz w:val="32"/>
          <w:szCs w:val="32"/>
        </w:rPr>
        <w:t>汉举办的各类展销会，多渠道开发武汉销售市场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val="en-US" w:eastAsia="zh-CN"/>
        </w:rPr>
        <w:t>推进政务跨地通办</w:t>
      </w:r>
      <w:r>
        <w:rPr>
          <w:rFonts w:hint="eastAsia" w:ascii="仿宋_GB2312" w:hAnsi="仿宋_GB2312" w:eastAsia="仿宋_GB2312" w:cs="仿宋_GB2312"/>
          <w:color w:val="auto"/>
          <w:sz w:val="32"/>
          <w:szCs w:val="32"/>
          <w:lang w:val="en-US" w:eastAsia="zh-CN"/>
        </w:rPr>
        <w:t>，深入推进“跨市通办、跨省通办”，进一步提升便民利民惠民工作水平。</w:t>
      </w:r>
      <w:r>
        <w:rPr>
          <w:rFonts w:hint="eastAsia" w:ascii="仿宋_GB2312" w:hAnsi="仿宋_GB2312" w:eastAsia="仿宋_GB2312" w:cs="仿宋_GB2312"/>
          <w:b/>
          <w:bCs/>
          <w:color w:val="auto"/>
          <w:sz w:val="32"/>
          <w:szCs w:val="32"/>
          <w:lang w:val="en-US" w:eastAsia="zh-CN"/>
        </w:rPr>
        <w:t>加大人才招引力度</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对接武汉高校毕业生，特别是咸宁</w:t>
      </w:r>
      <w:r>
        <w:rPr>
          <w:rFonts w:hint="eastAsia" w:ascii="仿宋_GB2312" w:hAnsi="仿宋_GB2312" w:eastAsia="仿宋_GB2312" w:cs="仿宋_GB2312"/>
          <w:color w:val="auto"/>
          <w:sz w:val="32"/>
          <w:szCs w:val="32"/>
          <w:lang w:val="en-US" w:eastAsia="zh-CN"/>
        </w:rPr>
        <w:t>籍</w:t>
      </w:r>
      <w:r>
        <w:rPr>
          <w:rFonts w:hint="eastAsia" w:ascii="仿宋_GB2312" w:hAnsi="仿宋_GB2312" w:eastAsia="仿宋_GB2312" w:cs="仿宋_GB2312"/>
          <w:color w:val="auto"/>
          <w:sz w:val="32"/>
          <w:szCs w:val="32"/>
        </w:rPr>
        <w:t>的毕业生返咸工作。积极寻求省级相关部门支持，帮助咸安引进外贸专业技术、国际贸易、跨境电商等专业人才。</w:t>
      </w:r>
    </w:p>
    <w:p w14:paraId="649431F2">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做大做强外贸出口</w:t>
      </w:r>
      <w:r>
        <w:rPr>
          <w:rFonts w:hint="eastAsia" w:ascii="仿宋_GB2312" w:hAnsi="仿宋_GB2312" w:eastAsia="仿宋_GB2312" w:cs="仿宋_GB2312"/>
          <w:color w:val="auto"/>
          <w:sz w:val="32"/>
          <w:szCs w:val="32"/>
          <w:lang w:val="en-US" w:eastAsia="zh-CN"/>
        </w:rPr>
        <w:t>。实施“自营转化、破零攻坚、主体培育”三大外贸工程，</w:t>
      </w:r>
      <w:r>
        <w:rPr>
          <w:rFonts w:hint="eastAsia" w:ascii="仿宋_GB2312" w:hAnsi="仿宋_GB2312" w:eastAsia="仿宋_GB2312" w:cs="仿宋_GB2312"/>
          <w:b w:val="0"/>
          <w:bCs w:val="0"/>
          <w:color w:val="auto"/>
          <w:sz w:val="32"/>
          <w:szCs w:val="32"/>
          <w:lang w:val="en-US" w:eastAsia="zh-CN"/>
        </w:rPr>
        <w:t>发挥外贸综合服务中心的服务功能和人才优势，广泛开展宣传发动和政策推广，推动龙头企业出口渠道、资源、经验共享，</w:t>
      </w:r>
      <w:r>
        <w:rPr>
          <w:rFonts w:hint="eastAsia" w:ascii="仿宋_GB2312" w:hAnsi="仿宋_GB2312" w:eastAsia="仿宋_GB2312" w:cs="仿宋_GB2312"/>
          <w:color w:val="auto"/>
          <w:sz w:val="32"/>
          <w:szCs w:val="32"/>
          <w:lang w:val="en-US" w:eastAsia="zh-CN"/>
        </w:rPr>
        <w:t>支持企业开拓东南亚、中东、非洲、南美等新兴市场。</w:t>
      </w:r>
      <w:r>
        <w:rPr>
          <w:rFonts w:hint="eastAsia" w:ascii="仿宋_GB2312" w:hAnsi="仿宋_GB2312" w:eastAsia="仿宋_GB2312" w:cs="仿宋_GB2312"/>
          <w:b w:val="0"/>
          <w:bCs w:val="0"/>
          <w:color w:val="auto"/>
          <w:sz w:val="32"/>
          <w:szCs w:val="32"/>
          <w:lang w:val="en-US" w:eastAsia="zh-CN"/>
        </w:rPr>
        <w:t>充分利用东亚公司海外仓，</w:t>
      </w:r>
      <w:r>
        <w:rPr>
          <w:rFonts w:hint="eastAsia" w:ascii="仿宋_GB2312" w:hAnsi="仿宋_GB2312" w:eastAsia="仿宋_GB2312" w:cs="仿宋_GB2312"/>
          <w:color w:val="auto"/>
          <w:sz w:val="32"/>
          <w:szCs w:val="32"/>
          <w:lang w:val="en-US" w:eastAsia="zh-CN"/>
        </w:rPr>
        <w:t>为本地相关联企业牵线搭桥，助力本地企业拓展海外市场。</w:t>
      </w:r>
      <w:r>
        <w:rPr>
          <w:rFonts w:hint="eastAsia" w:ascii="仿宋_GB2312" w:hAnsi="仿宋_GB2312" w:eastAsia="仿宋_GB2312" w:cs="仿宋_GB2312"/>
          <w:color w:val="auto"/>
          <w:kern w:val="0"/>
          <w:sz w:val="32"/>
          <w:szCs w:val="32"/>
          <w:lang w:val="en-US" w:eastAsia="zh-CN" w:bidi="ar"/>
        </w:rPr>
        <w:t>至2025年，制造业产品出口达到13亿元，利用外资年均增幅达到6%</w:t>
      </w:r>
      <w:r>
        <w:rPr>
          <w:rFonts w:hint="eastAsia" w:ascii="仿宋_GB2312" w:hAnsi="仿宋_GB2312" w:eastAsia="仿宋_GB2312" w:cs="仿宋_GB2312"/>
          <w:color w:val="auto"/>
          <w:sz w:val="32"/>
          <w:szCs w:val="32"/>
          <w:lang w:val="en-US" w:eastAsia="zh-CN"/>
        </w:rPr>
        <w:t>，外贸出口总额年均增长10%。</w:t>
      </w:r>
    </w:p>
    <w:p w14:paraId="5F4F47B0">
      <w:pPr>
        <w:pStyle w:val="5"/>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楷体_GB2312" w:hAnsi="楷体_GB2312" w:eastAsia="楷体_GB2312" w:cs="楷体_GB2312"/>
          <w:color w:val="auto"/>
          <w:lang w:val="en-US" w:eastAsia="zh-CN"/>
        </w:rPr>
      </w:pPr>
      <w:bookmarkStart w:id="120" w:name="_Toc22263"/>
      <w:bookmarkStart w:id="121" w:name="_Toc22962"/>
      <w:r>
        <w:rPr>
          <w:rFonts w:hint="eastAsia" w:ascii="楷体_GB2312" w:hAnsi="楷体_GB2312" w:eastAsia="楷体_GB2312" w:cs="楷体_GB2312"/>
          <w:color w:val="auto"/>
          <w:lang w:val="en-US" w:eastAsia="zh-CN"/>
        </w:rPr>
        <w:t>（八）持续增进民生福祉，打造“人民幸福”首善之区</w:t>
      </w:r>
      <w:bookmarkEnd w:id="120"/>
      <w:bookmarkEnd w:id="121"/>
    </w:p>
    <w:p w14:paraId="5EEB1240">
      <w:pPr>
        <w:pageBreakBefore w:val="0"/>
        <w:widowControl w:val="0"/>
        <w:kinsoku/>
        <w:wordWrap/>
        <w:overflowPunct/>
        <w:topLinePunct w:val="0"/>
        <w:autoSpaceDE/>
        <w:autoSpaceDN/>
        <w:bidi w:val="0"/>
        <w:adjustRightInd w:val="0"/>
        <w:snapToGrid w:val="0"/>
        <w:spacing w:line="560" w:lineRule="exact"/>
        <w:textAlignment w:val="auto"/>
        <w:rPr>
          <w:rStyle w:val="21"/>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Style w:val="21"/>
          <w:rFonts w:hint="eastAsia" w:ascii="仿宋_GB2312" w:hAnsi="仿宋_GB2312" w:eastAsia="仿宋_GB2312" w:cs="仿宋_GB2312"/>
          <w:b w:val="0"/>
          <w:bCs w:val="0"/>
          <w:i w:val="0"/>
          <w:iCs w:val="0"/>
          <w:caps w:val="0"/>
          <w:color w:val="auto"/>
          <w:spacing w:val="0"/>
          <w:sz w:val="32"/>
          <w:szCs w:val="32"/>
          <w:shd w:val="clear" w:fill="FFFFFF"/>
          <w:lang w:val="en-US" w:eastAsia="zh-CN"/>
        </w:rPr>
        <w:t>坚持共同富裕方向，兴办民生实事，解决民生难题，补齐民生短板，不断提高人民群众的幸福感、获得感、安全感。</w:t>
      </w:r>
    </w:p>
    <w:p w14:paraId="120F5844">
      <w:pPr>
        <w:pageBreakBefore w:val="0"/>
        <w:widowControl w:val="0"/>
        <w:numPr>
          <w:ilvl w:val="0"/>
          <w:numId w:val="2"/>
        </w:numPr>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保障稳岗就业</w:t>
      </w:r>
    </w:p>
    <w:p w14:paraId="545D3078">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面落实用工指导服务、援企稳岗、鼓励企业吸纳就业等政策措施，深入实施系列就业援助计划，建好“零工驿站”促进灵活就业，帮助高校毕业生、返乡农民工、残疾人、零就业家庭、脱贫人员等就业困难人员实现就业，防范化解稳岗就业重大风险，织牢就业“安全网”。</w:t>
      </w:r>
      <w:r>
        <w:rPr>
          <w:rFonts w:hint="eastAsia" w:ascii="仿宋_GB2312" w:hAnsi="仿宋_GB2312" w:eastAsia="仿宋_GB2312" w:cs="仿宋_GB2312"/>
          <w:b/>
          <w:bCs/>
          <w:color w:val="auto"/>
          <w:sz w:val="32"/>
          <w:szCs w:val="32"/>
          <w:lang w:val="en-US" w:eastAsia="zh-CN"/>
        </w:rPr>
        <w:t>拓展就业岗位，</w:t>
      </w:r>
      <w:r>
        <w:rPr>
          <w:rFonts w:hint="eastAsia" w:ascii="仿宋_GB2312" w:hAnsi="仿宋_GB2312" w:eastAsia="仿宋_GB2312" w:cs="仿宋_GB2312"/>
          <w:color w:val="auto"/>
          <w:sz w:val="32"/>
          <w:szCs w:val="32"/>
          <w:lang w:val="en-US" w:eastAsia="zh-CN"/>
        </w:rPr>
        <w:t>围绕“项目建设吸纳一批、扩大创业带动一批、灵活就业扶持一批”广开就业渠道，支持新业态灵活就业搭建线上线下招聘平台，缓解招工难和就业难“两难”问题，推进“一县一品”“一县多品”劳务品牌创建，集中优势资源服务企业和求职者，吸引更多人才来咸安就业创业。</w:t>
      </w:r>
      <w:r>
        <w:rPr>
          <w:rFonts w:hint="eastAsia" w:ascii="仿宋_GB2312" w:hAnsi="仿宋_GB2312" w:eastAsia="仿宋_GB2312" w:cs="仿宋_GB2312"/>
          <w:b/>
          <w:bCs/>
          <w:color w:val="auto"/>
          <w:sz w:val="32"/>
          <w:szCs w:val="32"/>
          <w:lang w:val="en-US" w:eastAsia="zh-CN"/>
        </w:rPr>
        <w:t>支持创新创业，</w:t>
      </w:r>
      <w:r>
        <w:rPr>
          <w:rFonts w:hint="eastAsia" w:ascii="仿宋_GB2312" w:hAnsi="仿宋_GB2312" w:eastAsia="仿宋_GB2312" w:cs="仿宋_GB2312"/>
          <w:b w:val="0"/>
          <w:bCs w:val="0"/>
          <w:color w:val="auto"/>
          <w:sz w:val="32"/>
          <w:szCs w:val="32"/>
          <w:lang w:val="en-US" w:eastAsia="zh-CN"/>
        </w:rPr>
        <w:t>深入开展“我兴楚乡·创在湖北”返乡创业行动，大力实施“才聚荆楚”工程，实施“桂乡人才”计划，促进高校毕业生等青年群体就业。</w:t>
      </w:r>
      <w:r>
        <w:rPr>
          <w:rFonts w:hint="eastAsia" w:ascii="仿宋_GB2312" w:hAnsi="仿宋_GB2312" w:eastAsia="仿宋_GB2312" w:cs="仿宋_GB2312"/>
          <w:color w:val="auto"/>
          <w:sz w:val="32"/>
          <w:szCs w:val="32"/>
          <w:lang w:val="en-US" w:eastAsia="zh-CN"/>
        </w:rPr>
        <w:t>加大创业担保贷款发放力度，降低反担保门槛，切实为创业者解决实际困难。做好创业孵化示范基地、返乡创业示范县、示范项目指导服务工作。</w:t>
      </w:r>
      <w:r>
        <w:rPr>
          <w:rFonts w:hint="eastAsia" w:ascii="仿宋_GB2312" w:hAnsi="仿宋_GB2312" w:eastAsia="仿宋_GB2312" w:cs="仿宋_GB2312"/>
          <w:b/>
          <w:bCs/>
          <w:color w:val="auto"/>
          <w:sz w:val="32"/>
          <w:szCs w:val="32"/>
          <w:lang w:val="en-US" w:eastAsia="zh-CN"/>
        </w:rPr>
        <w:t>加强技能培训，</w:t>
      </w:r>
      <w:r>
        <w:rPr>
          <w:rFonts w:hint="eastAsia" w:ascii="仿宋_GB2312" w:hAnsi="仿宋_GB2312" w:eastAsia="仿宋_GB2312" w:cs="仿宋_GB2312"/>
          <w:color w:val="auto"/>
          <w:sz w:val="32"/>
          <w:szCs w:val="32"/>
          <w:lang w:val="en-US" w:eastAsia="zh-CN"/>
        </w:rPr>
        <w:t>紧贴重点产业和技能人才紧缺产业和工种，开展岗位技能提升培训，建立重点产业职业培训</w:t>
      </w:r>
      <w:r>
        <w:rPr>
          <w:rFonts w:hint="eastAsia" w:ascii="仿宋_GB2312" w:hAnsi="仿宋_GB2312" w:eastAsia="仿宋_GB2312" w:cs="仿宋_GB2312"/>
          <w:color w:val="auto"/>
          <w:lang w:val="en-US" w:eastAsia="zh-CN"/>
        </w:rPr>
        <w:t>需求</w:t>
      </w:r>
      <w:r>
        <w:rPr>
          <w:rFonts w:hint="eastAsia" w:ascii="仿宋_GB2312" w:hAnsi="仿宋_GB2312" w:eastAsia="仿宋_GB2312" w:cs="仿宋_GB2312"/>
          <w:color w:val="auto"/>
          <w:sz w:val="32"/>
          <w:szCs w:val="32"/>
          <w:lang w:val="en-US" w:eastAsia="zh-CN"/>
        </w:rPr>
        <w:t>指导目录，对指导目录内培训工种适当提高补贴标准。开展岗前培训、脱产培训、技能竞赛，增强新招员工和转岗职工的适岗能力，提升职工适应新技术、新产业、新业态的能力素质，打造新型技能人才队伍。</w:t>
      </w:r>
    </w:p>
    <w:p w14:paraId="27253AC6">
      <w:pPr>
        <w:pageBreakBefore w:val="0"/>
        <w:widowControl w:val="0"/>
        <w:numPr>
          <w:ilvl w:val="0"/>
          <w:numId w:val="2"/>
        </w:numPr>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优化教育服务</w:t>
      </w:r>
    </w:p>
    <w:p w14:paraId="13059765">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巩固提升学校办学条件，</w:t>
      </w:r>
      <w:r>
        <w:rPr>
          <w:rFonts w:hint="eastAsia" w:ascii="仿宋_GB2312" w:hAnsi="仿宋_GB2312" w:eastAsia="仿宋_GB2312" w:cs="仿宋_GB2312"/>
          <w:color w:val="auto"/>
          <w:sz w:val="32"/>
          <w:szCs w:val="32"/>
          <w:lang w:val="en-US" w:eastAsia="zh-CN"/>
        </w:rPr>
        <w:t>实施农村寄宿制学校建设攻坚、义务学校新建改扩建、小区配建幼儿园转公等重点项目，推进</w:t>
      </w:r>
      <w:r>
        <w:rPr>
          <w:rFonts w:hint="eastAsia" w:ascii="仿宋_GB2312" w:hAnsi="仿宋_GB2312" w:eastAsia="仿宋_GB2312" w:cs="仿宋_GB2312"/>
          <w:color w:val="auto"/>
          <w:sz w:val="32"/>
          <w:szCs w:val="32"/>
          <w:lang w:eastAsia="zh-CN"/>
        </w:rPr>
        <w:t>咸宁市玉桂学校、改扩建第七小学、扩建马桥中学等项目建成</w:t>
      </w:r>
      <w:r>
        <w:rPr>
          <w:rFonts w:hint="eastAsia" w:ascii="仿宋_GB2312" w:hAnsi="仿宋_GB2312" w:eastAsia="仿宋_GB2312" w:cs="仿宋_GB2312"/>
          <w:color w:val="auto"/>
          <w:sz w:val="32"/>
          <w:szCs w:val="32"/>
          <w:lang w:val="en-US" w:eastAsia="zh-CN"/>
        </w:rPr>
        <w:t>投入使用</w:t>
      </w:r>
      <w:r>
        <w:rPr>
          <w:rFonts w:hint="eastAsia" w:ascii="仿宋_GB2312" w:hAnsi="仿宋_GB2312" w:eastAsia="仿宋_GB2312" w:cs="仿宋_GB2312"/>
          <w:color w:val="auto"/>
          <w:sz w:val="32"/>
          <w:szCs w:val="32"/>
          <w:lang w:eastAsia="zh-CN"/>
        </w:rPr>
        <w:t>，稳妥推进乡村小规模学校撤并。推进学前教育公益普惠</w:t>
      </w:r>
      <w:r>
        <w:rPr>
          <w:rFonts w:hint="eastAsia" w:ascii="仿宋_GB2312" w:hAnsi="仿宋_GB2312" w:eastAsia="仿宋_GB2312" w:cs="仿宋_GB2312"/>
          <w:color w:val="auto"/>
          <w:sz w:val="32"/>
          <w:szCs w:val="32"/>
          <w:lang w:val="en-US" w:eastAsia="zh-CN"/>
        </w:rPr>
        <w:t>发展</w:t>
      </w:r>
      <w:r>
        <w:rPr>
          <w:rFonts w:hint="eastAsia" w:ascii="仿宋_GB2312" w:hAnsi="仿宋_GB2312" w:eastAsia="仿宋_GB2312" w:cs="仿宋_GB2312"/>
          <w:color w:val="auto"/>
          <w:sz w:val="32"/>
          <w:szCs w:val="32"/>
          <w:lang w:eastAsia="zh-CN"/>
        </w:rPr>
        <w:t>，加强公办幼儿园建设，普惠性幼儿园覆盖率达到85%以上，学前教育毛入学率达</w:t>
      </w:r>
      <w:r>
        <w:rPr>
          <w:rFonts w:hint="eastAsia" w:ascii="仿宋_GB2312" w:hAnsi="仿宋_GB2312" w:eastAsia="仿宋_GB2312" w:cs="仿宋_GB2312"/>
          <w:color w:val="auto"/>
          <w:sz w:val="32"/>
          <w:szCs w:val="32"/>
          <w:lang w:val="en-US" w:eastAsia="zh-CN"/>
        </w:rPr>
        <w:t>到</w:t>
      </w:r>
      <w:r>
        <w:rPr>
          <w:rFonts w:hint="eastAsia" w:ascii="仿宋_GB2312" w:hAnsi="仿宋_GB2312" w:eastAsia="仿宋_GB2312" w:cs="仿宋_GB2312"/>
          <w:color w:val="auto"/>
          <w:sz w:val="32"/>
          <w:szCs w:val="32"/>
          <w:lang w:eastAsia="zh-CN"/>
        </w:rPr>
        <w:t>96%。</w:t>
      </w:r>
      <w:r>
        <w:rPr>
          <w:rFonts w:hint="eastAsia" w:ascii="仿宋_GB2312" w:hAnsi="仿宋_GB2312" w:eastAsia="仿宋_GB2312" w:cs="仿宋_GB2312"/>
          <w:color w:val="auto"/>
          <w:sz w:val="32"/>
          <w:szCs w:val="32"/>
          <w:lang w:val="en-US" w:eastAsia="zh-CN"/>
        </w:rPr>
        <w:t>推进义务教育优质均衡发展，</w:t>
      </w:r>
      <w:r>
        <w:rPr>
          <w:rFonts w:hint="eastAsia" w:ascii="仿宋_GB2312" w:hAnsi="仿宋_GB2312" w:eastAsia="仿宋_GB2312" w:cs="仿宋_GB2312"/>
          <w:color w:val="auto"/>
          <w:sz w:val="32"/>
          <w:szCs w:val="32"/>
          <w:lang w:eastAsia="zh-CN"/>
        </w:rPr>
        <w:t>实施“市城区义务教育提升计划”，推进集团化办学和学区化管理，</w:t>
      </w:r>
      <w:r>
        <w:rPr>
          <w:rFonts w:hint="eastAsia" w:ascii="仿宋_GB2312" w:hAnsi="仿宋_GB2312" w:eastAsia="仿宋_GB2312" w:cs="仿宋_GB2312"/>
          <w:color w:val="auto"/>
          <w:sz w:val="32"/>
          <w:szCs w:val="32"/>
          <w:lang w:val="en-US" w:eastAsia="zh-CN"/>
        </w:rPr>
        <w:t>缓解城区</w:t>
      </w:r>
      <w:r>
        <w:rPr>
          <w:rFonts w:hint="eastAsia" w:ascii="仿宋_GB2312" w:hAnsi="仿宋_GB2312" w:eastAsia="仿宋_GB2312" w:cs="仿宋_GB2312"/>
          <w:color w:val="auto"/>
          <w:sz w:val="32"/>
          <w:szCs w:val="32"/>
          <w:lang w:eastAsia="zh-CN"/>
        </w:rPr>
        <w:t>“大校额”</w:t>
      </w:r>
      <w:r>
        <w:rPr>
          <w:rFonts w:hint="eastAsia" w:ascii="仿宋_GB2312" w:hAnsi="仿宋_GB2312" w:eastAsia="仿宋_GB2312" w:cs="仿宋_GB2312"/>
          <w:color w:val="auto"/>
          <w:sz w:val="32"/>
          <w:szCs w:val="32"/>
          <w:lang w:val="en-US" w:eastAsia="zh-CN"/>
        </w:rPr>
        <w:t>问题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健全</w:t>
      </w:r>
      <w:r>
        <w:rPr>
          <w:rFonts w:hint="eastAsia" w:ascii="仿宋_GB2312" w:hAnsi="仿宋_GB2312" w:eastAsia="仿宋_GB2312" w:cs="仿宋_GB2312"/>
          <w:color w:val="auto"/>
          <w:sz w:val="32"/>
          <w:szCs w:val="32"/>
          <w:lang w:eastAsia="zh-CN"/>
        </w:rPr>
        <w:t>城乡学校</w:t>
      </w:r>
      <w:r>
        <w:rPr>
          <w:rFonts w:hint="eastAsia" w:ascii="仿宋_GB2312" w:hAnsi="仿宋_GB2312" w:eastAsia="仿宋_GB2312" w:cs="仿宋_GB2312"/>
          <w:color w:val="auto"/>
          <w:sz w:val="32"/>
          <w:szCs w:val="32"/>
          <w:lang w:val="en-US" w:eastAsia="zh-CN"/>
        </w:rPr>
        <w:t>教联体制度</w:t>
      </w:r>
      <w:r>
        <w:rPr>
          <w:rFonts w:hint="eastAsia" w:ascii="仿宋_GB2312" w:hAnsi="仿宋_GB2312" w:eastAsia="仿宋_GB2312" w:cs="仿宋_GB2312"/>
          <w:color w:val="auto"/>
          <w:sz w:val="32"/>
          <w:szCs w:val="32"/>
          <w:lang w:eastAsia="zh-CN"/>
        </w:rPr>
        <w:t>，进一步提升乡村学校办学质量。</w:t>
      </w:r>
      <w:r>
        <w:rPr>
          <w:rFonts w:hint="eastAsia" w:ascii="仿宋_GB2312" w:hAnsi="仿宋_GB2312" w:eastAsia="仿宋_GB2312" w:cs="仿宋_GB2312"/>
          <w:color w:val="auto"/>
          <w:sz w:val="32"/>
          <w:szCs w:val="32"/>
          <w:lang w:val="en-US" w:eastAsia="zh-CN"/>
        </w:rPr>
        <w:t>加强</w:t>
      </w:r>
      <w:r>
        <w:rPr>
          <w:rFonts w:hint="eastAsia" w:ascii="仿宋_GB2312" w:hAnsi="仿宋_GB2312" w:eastAsia="仿宋_GB2312" w:cs="仿宋_GB2312"/>
          <w:color w:val="auto"/>
          <w:sz w:val="32"/>
          <w:szCs w:val="32"/>
          <w:lang w:eastAsia="zh-CN"/>
        </w:rPr>
        <w:t>随迁子女、留守儿童、残疾儿童等特殊学生群体教育关爱，确保适龄儿童平等接受义务教育。</w:t>
      </w:r>
      <w:r>
        <w:rPr>
          <w:rFonts w:hint="eastAsia" w:ascii="仿宋_GB2312" w:hAnsi="仿宋_GB2312" w:eastAsia="仿宋_GB2312" w:cs="仿宋_GB2312"/>
          <w:color w:val="auto"/>
          <w:sz w:val="32"/>
          <w:szCs w:val="32"/>
          <w:lang w:val="en-US" w:eastAsia="zh-CN"/>
        </w:rPr>
        <w:t>推进武咸教育同城发展，</w:t>
      </w:r>
      <w:r>
        <w:rPr>
          <w:rFonts w:hint="eastAsia" w:ascii="仿宋_GB2312" w:hAnsi="仿宋_GB2312" w:eastAsia="仿宋_GB2312" w:cs="仿宋_GB2312"/>
          <w:color w:val="auto"/>
          <w:sz w:val="32"/>
          <w:szCs w:val="32"/>
          <w:lang w:eastAsia="zh-CN"/>
        </w:rPr>
        <w:t>建立武咸教育教学资源共享库，</w:t>
      </w:r>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lang w:eastAsia="zh-CN"/>
        </w:rPr>
        <w:t>两地教学一网联、同上一堂课；成立武咸校际联盟团体，拓展教师互动成长渠道；推进咸宁“武汉南”大学城建设。</w:t>
      </w:r>
      <w:r>
        <w:rPr>
          <w:rFonts w:hint="eastAsia" w:ascii="仿宋_GB2312" w:hAnsi="仿宋_GB2312" w:eastAsia="仿宋_GB2312" w:cs="仿宋_GB2312"/>
          <w:color w:val="auto"/>
          <w:sz w:val="32"/>
          <w:szCs w:val="32"/>
          <w:lang w:val="en-US" w:eastAsia="zh-CN"/>
        </w:rPr>
        <w:t>全面落实“双减”政策，推进教联体改革和“区管校聘”改革，规范校外培训机构管理。</w:t>
      </w:r>
    </w:p>
    <w:p w14:paraId="25E201BF">
      <w:pPr>
        <w:pageBreakBefore w:val="0"/>
        <w:widowControl w:val="0"/>
        <w:numPr>
          <w:ilvl w:val="0"/>
          <w:numId w:val="2"/>
        </w:numPr>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建设健康咸安</w:t>
      </w:r>
    </w:p>
    <w:p w14:paraId="0F188EBF">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依托文明城市、卫生城市创建，推行健 康生活方式，提高全民健康素养，提高全民身体素质。深入开展爱国卫生运动，提升人与自然和谐发展的居住环境。健全医疗保障体系，提升居民健康水平。深化“ 医共体”“ 医联体”建设，由市第一人民医院牵头，以区中医医院作为医共体支撑，提升全区中医药服务水平。完善专家下沉制度，市第一人民医院重点做好高桥双溪、汀泗、横沟、大幕 5 家成员单位专家派驻，区中医医院重点对 13 家基层医疗机构国医堂建设进行帮扶，区妇幼保健院在妇产科、儿科方面增派下沉力量。加大家庭医生服务宣传力度，建立稳定的健康服务关系，做真做实签约服务。持续推动标准化村卫生室、社区卫生服务站改造工程，推进“一村一名大学生村医”</w:t>
      </w:r>
      <w:r>
        <w:rPr>
          <w:rFonts w:hint="eastAsia" w:ascii="仿宋_GB2312" w:hAnsi="仿宋_GB2312" w:eastAsia="仿宋_GB2312" w:cs="仿宋_GB2312"/>
          <w:color w:val="auto"/>
          <w:sz w:val="32"/>
          <w:szCs w:val="32"/>
          <w:lang w:eastAsia="zh-CN"/>
        </w:rPr>
        <w:t>配备</w:t>
      </w:r>
      <w:r>
        <w:rPr>
          <w:rFonts w:hint="eastAsia" w:ascii="仿宋_GB2312" w:hAnsi="仿宋_GB2312" w:eastAsia="仿宋_GB2312" w:cs="仿宋_GB2312"/>
          <w:color w:val="auto"/>
          <w:sz w:val="32"/>
          <w:szCs w:val="32"/>
        </w:rPr>
        <w:t>计划落实落细</w:t>
      </w:r>
      <w:r>
        <w:rPr>
          <w:rFonts w:hint="eastAsia" w:ascii="仿宋_GB2312" w:hAnsi="仿宋_GB2312" w:eastAsia="仿宋_GB2312" w:cs="仿宋_GB2312"/>
          <w:color w:val="auto"/>
          <w:sz w:val="32"/>
          <w:szCs w:val="32"/>
          <w:lang w:val="en-US" w:eastAsia="zh-CN"/>
        </w:rPr>
        <w:t>。</w:t>
      </w:r>
    </w:p>
    <w:p w14:paraId="04DF2246">
      <w:pPr>
        <w:pageBreakBefore w:val="0"/>
        <w:widowControl w:val="0"/>
        <w:numPr>
          <w:ilvl w:val="0"/>
          <w:numId w:val="2"/>
        </w:numPr>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繁荣文体事业</w:t>
      </w:r>
    </w:p>
    <w:p w14:paraId="6DB26C64">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推进文化阵地建设，丰富公共文化产品供给。加强文体中心剧场等文化设施运营管理，盘活赏桂、温泉、民宿旅游等地方特色资源，引进优秀文艺资源，不断输出高品质的“咸安出品”。强化非遗保护，开展非遗主题宣传活动、展演活动，探索建立非遗进校园长效机制。加强队伍建设，促进局校合作常态化发展，引进艺术院校专业舞蹈人才，支持乡镇场（街道）开展文艺团队建设、文化活动。加强省市主流媒体联动，深耕大武汉市场，精心组织参加中国武汉文化旅游博览会、荆楚文化节等大型文旅宣传平台，整体提升咸安文化旅游知名度。</w:t>
      </w:r>
      <w:r>
        <w:rPr>
          <w:rFonts w:hint="eastAsia" w:ascii="仿宋_GB2312" w:hAnsi="仿宋_GB2312" w:eastAsia="仿宋_GB2312" w:cs="仿宋_GB2312"/>
          <w:b w:val="0"/>
          <w:bCs w:val="0"/>
          <w:color w:val="auto"/>
          <w:sz w:val="32"/>
          <w:szCs w:val="32"/>
          <w:lang w:val="en-US" w:eastAsia="zh-CN"/>
        </w:rPr>
        <w:t>开展全民健身活动，</w:t>
      </w:r>
      <w:r>
        <w:rPr>
          <w:rFonts w:hint="eastAsia" w:ascii="仿宋_GB2312" w:hAnsi="仿宋_GB2312" w:eastAsia="仿宋_GB2312" w:cs="仿宋_GB2312"/>
          <w:color w:val="auto"/>
          <w:sz w:val="32"/>
          <w:szCs w:val="32"/>
          <w:lang w:val="en-US" w:eastAsia="zh-CN"/>
        </w:rPr>
        <w:t>举办咸安区三级社会体育指导员培训班，举办各项赛事活动，组团（队）参加各类体育比赛，做好体育场馆向市民免费低收费开放，做好区域国民体质监测测试，完善全区体育基础设施，做好体育产业统计、体育场地普查工作。</w:t>
      </w:r>
    </w:p>
    <w:p w14:paraId="4BA87863">
      <w:pPr>
        <w:pageBreakBefore w:val="0"/>
        <w:widowControl w:val="0"/>
        <w:numPr>
          <w:ilvl w:val="0"/>
          <w:numId w:val="2"/>
        </w:numPr>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推进社保扩面提标</w:t>
      </w:r>
    </w:p>
    <w:p w14:paraId="302E7703">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对接基本养老保险全国统筹，推进失业保险省级统筹，推进工伤保险省级统筹向省级统收统支模式过渡，推动多层次养老保险体系协调发展。提升基金安全度，加强内外协同，健全政策、经办、信息、监督“四位一体”基金管理风险防控体系，严厉打击欺诈骗保、套保或挪用贪占等违法行为。推进管理精细化，对接全国社会保险公共服务平台，推动“全数据共享、全服务上网、全业务用卡”，推进第三代社保卡全覆盖。深入推进全民参保计划，推动参保覆盖面不断扩大，加大社会保险费扩面征缴力度，科学调整社会保险待遇，让参保人员共享发展成果。全面提升社会保障服务水平，建立社会保险基金运行风险预警机制，妥善处理新老机保衔接中出现的问题，逐步解决历史遗留问题。确保企业、机关事业养老保险待遇按时足额发放到位。</w:t>
      </w:r>
    </w:p>
    <w:p w14:paraId="45626560">
      <w:pPr>
        <w:pageBreakBefore w:val="0"/>
        <w:widowControl w:val="0"/>
        <w:numPr>
          <w:ilvl w:val="0"/>
          <w:numId w:val="2"/>
        </w:numPr>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厚植文明新风</w:t>
      </w:r>
    </w:p>
    <w:p w14:paraId="35BF7AE7">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加强红色资源保护利用和传承弘扬，做好鄂南英烈纪念馆和何功伟故居、向阳湖文化名人博物馆布展，支持以何功伟、钱亦石等英烈为原型的文艺精品创作。培育和践行社会主义核心价值观，发挥新时代文明实践阵地作用，开展富有特色的文明实践活动，强化新时代爱国主义教育、公民道德建设、未成年人思想道德建设。深入实施文化惠民工程，扎实开展群众性精神文明创建活动，积极创建文明村镇、文明单位、文明家庭、文明校园，常态化开展志愿服务，培育文明乡风、良好家风、淳朴民风。</w:t>
      </w:r>
    </w:p>
    <w:p w14:paraId="19798C5C">
      <w:pPr>
        <w:pageBreakBefore w:val="0"/>
        <w:widowControl w:val="0"/>
        <w:numPr>
          <w:ilvl w:val="0"/>
          <w:numId w:val="2"/>
        </w:numPr>
        <w:kinsoku/>
        <w:wordWrap/>
        <w:overflowPunct/>
        <w:topLinePunct w:val="0"/>
        <w:autoSpaceDE/>
        <w:autoSpaceDN/>
        <w:bidi w:val="0"/>
        <w:adjustRightInd w:val="0"/>
        <w:snapToGrid w:val="0"/>
        <w:spacing w:line="560" w:lineRule="exact"/>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建设平安咸安</w:t>
      </w:r>
    </w:p>
    <w:p w14:paraId="14A6B1A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sz w:val="32"/>
          <w:szCs w:val="32"/>
          <w:lang w:val="en-US" w:eastAsia="zh-CN"/>
        </w:rPr>
        <w:t>统筹发展和安全，有效防范化解各类风险挑战，坚决守牢安全底线。全面推进区、镇、村三级综治中心、人民调解中心规范化建设和一体化运行，大力推进“多网合一”“一网统管”“一网通办”，让群众反映诉求、解决矛盾“只跑一地、只进一门”。全面落实“一村（社区）一辅警、一村（社区）一法律顾问”制度，深入推进安全生产、森林防火、未成年人保护、电信网络诈骗专项治理以及常态化扫黑除恶等重点工作，统筹抓好食品药品安全、道路交通安全、社会安全、网络安全、校园安全，切实增强群众幸福感、安全感</w:t>
      </w:r>
      <w:r>
        <w:rPr>
          <w:rFonts w:hint="eastAsia" w:ascii="仿宋_GB2312" w:hAnsi="仿宋_GB2312" w:eastAsia="仿宋_GB2312" w:cs="仿宋_GB2312"/>
          <w:color w:val="auto"/>
          <w:lang w:val="en-US" w:eastAsia="zh-CN"/>
        </w:rPr>
        <w:t>。</w:t>
      </w:r>
    </w:p>
    <w:p w14:paraId="677150B9">
      <w:pPr>
        <w:pStyle w:val="2"/>
        <w:rPr>
          <w:rFonts w:hint="eastAsia"/>
          <w:color w:val="auto"/>
          <w:lang w:val="en-US" w:eastAsia="zh-CN"/>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593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8AF72B">
            <w:pPr>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仿宋_GB2312" w:cs="Times New Roman"/>
                <w:color w:val="auto"/>
                <w:vertAlign w:val="baseline"/>
                <w:lang w:val="en-US" w:eastAsia="zh-CN"/>
              </w:rPr>
            </w:pPr>
            <w:r>
              <w:rPr>
                <w:rFonts w:hint="default" w:ascii="Times New Roman" w:hAnsi="Times New Roman" w:eastAsia="楷体_GB2312" w:cs="Times New Roman"/>
                <w:b/>
                <w:bCs/>
                <w:color w:val="auto"/>
                <w:vertAlign w:val="baseline"/>
                <w:lang w:val="en-US" w:eastAsia="zh-CN"/>
              </w:rPr>
              <w:t>专栏7  民生保障领域重大项目</w:t>
            </w:r>
          </w:p>
        </w:tc>
      </w:tr>
      <w:tr w14:paraId="0D59E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F8A4DC2">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auto"/>
                <w:kern w:val="0"/>
                <w:sz w:val="30"/>
                <w:szCs w:val="30"/>
                <w:lang w:val="en-US" w:eastAsia="zh-CN" w:bidi="ar"/>
              </w:rPr>
            </w:pPr>
            <w:r>
              <w:rPr>
                <w:rFonts w:hint="default" w:ascii="Times New Roman" w:hAnsi="Times New Roman" w:eastAsia="仿宋_GB2312" w:cs="Times New Roman"/>
                <w:b/>
                <w:bCs/>
                <w:color w:val="auto"/>
                <w:kern w:val="0"/>
                <w:sz w:val="30"/>
                <w:szCs w:val="30"/>
                <w:lang w:val="en-US" w:eastAsia="zh-CN" w:bidi="ar"/>
              </w:rPr>
              <w:t>教育项目</w:t>
            </w:r>
            <w:r>
              <w:rPr>
                <w:rFonts w:hint="default" w:ascii="Times New Roman" w:hAnsi="Times New Roman" w:eastAsia="仿宋_GB2312" w:cs="Times New Roman"/>
                <w:b w:val="0"/>
                <w:bCs w:val="0"/>
                <w:color w:val="auto"/>
                <w:kern w:val="0"/>
                <w:sz w:val="30"/>
                <w:szCs w:val="30"/>
                <w:lang w:val="en-US" w:eastAsia="zh-CN" w:bidi="ar"/>
              </w:rPr>
              <w:t>。新建咸宁市玉桂学校、改扩建第七小学、扩建马桥中学、咸宁市职业教育中心项目、湖北科技学院卫生健康创新与教育中心建设项目、咸宁市玉桂学校建设项目、咸宁市大洲湖学校建设项目。</w:t>
            </w:r>
          </w:p>
          <w:p w14:paraId="33263D96">
            <w:pPr>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color w:val="auto"/>
                <w:vertAlign w:val="baseline"/>
                <w:lang w:val="en-US" w:eastAsia="zh-CN"/>
              </w:rPr>
            </w:pPr>
            <w:r>
              <w:rPr>
                <w:rFonts w:hint="default" w:ascii="Times New Roman" w:hAnsi="Times New Roman" w:eastAsia="仿宋_GB2312" w:cs="Times New Roman"/>
                <w:b/>
                <w:bCs/>
                <w:color w:val="auto"/>
                <w:kern w:val="0"/>
                <w:sz w:val="30"/>
                <w:szCs w:val="30"/>
                <w:lang w:val="en-US" w:eastAsia="zh-CN" w:bidi="ar"/>
              </w:rPr>
              <w:t>医疗项目</w:t>
            </w:r>
            <w:r>
              <w:rPr>
                <w:rFonts w:hint="default" w:ascii="Times New Roman" w:hAnsi="Times New Roman" w:eastAsia="仿宋_GB2312" w:cs="Times New Roman"/>
                <w:b w:val="0"/>
                <w:bCs w:val="0"/>
                <w:color w:val="auto"/>
                <w:kern w:val="0"/>
                <w:sz w:val="30"/>
                <w:szCs w:val="30"/>
                <w:lang w:val="en-US" w:eastAsia="zh-CN" w:bidi="ar"/>
              </w:rPr>
              <w:t>。同济医院咸宁医院（国家区域医疗中心）建设项目、咸宁市第一人民医院传染病大楼二期建设项目、咸宁市第一人民医院服务能力提升项目、咸安区医疗废（危险）废物收集转运系统建设项目、咸安区公共卫生能力提升工程（健康咸安信息平台建设）、咸安区医养中心建设项目、高桥镇中心卫生院门诊综合楼改扩建项目、官埠桥镇卫生院整体搬迁项目、横沟桥镇中心卫生院门诊医技综合楼改扩建及附属工程项目、汀泗中心卫生院整体搬迁二期项目。</w:t>
            </w:r>
          </w:p>
        </w:tc>
      </w:tr>
    </w:tbl>
    <w:p w14:paraId="3B4B88F8">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lang w:val="en-US" w:eastAsia="zh-CN"/>
        </w:rPr>
      </w:pPr>
    </w:p>
    <w:p w14:paraId="064A0A75">
      <w:pPr>
        <w:pageBreakBefore w:val="0"/>
        <w:widowControl w:val="0"/>
        <w:kinsoku/>
        <w:wordWrap/>
        <w:overflowPunct/>
        <w:topLinePunct w:val="0"/>
        <w:autoSpaceDE/>
        <w:autoSpaceDN/>
        <w:bidi w:val="0"/>
        <w:adjustRightInd w:val="0"/>
        <w:snapToGrid w:val="0"/>
        <w:spacing w:line="560" w:lineRule="exact"/>
        <w:ind w:firstLine="585" w:firstLineChars="183"/>
        <w:textAlignment w:val="auto"/>
        <w:rPr>
          <w:rFonts w:hint="default" w:ascii="Times New Roman" w:hAnsi="Times New Roman" w:eastAsia="仿宋_GB2312" w:cs="Times New Roman"/>
          <w:color w:val="auto"/>
          <w:kern w:val="0"/>
          <w:sz w:val="32"/>
          <w:szCs w:val="32"/>
        </w:rPr>
        <w:sectPr>
          <w:footerReference r:id="rId7" w:type="default"/>
          <w:pgSz w:w="11906" w:h="16838"/>
          <w:pgMar w:top="2098" w:right="1800" w:bottom="1984"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0DA60B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outlineLvl w:val="0"/>
        <w:rPr>
          <w:rFonts w:hint="eastAsia" w:ascii="仿宋_GB2312" w:hAnsi="仿宋_GB2312" w:eastAsia="仿宋_GB2312" w:cs="仿宋_GB2312"/>
          <w:color w:val="auto"/>
          <w:sz w:val="32"/>
          <w:szCs w:val="32"/>
          <w:lang w:val="en-US" w:eastAsia="zh-CN"/>
        </w:rPr>
      </w:pPr>
      <w:bookmarkStart w:id="122" w:name="_Toc1882"/>
      <w:bookmarkStart w:id="123" w:name="_Toc21776"/>
      <w:r>
        <w:rPr>
          <w:rFonts w:hint="eastAsia" w:ascii="仿宋_GB2312" w:hAnsi="仿宋_GB2312" w:eastAsia="仿宋_GB2312" w:cs="仿宋_GB2312"/>
          <w:color w:val="auto"/>
          <w:sz w:val="32"/>
          <w:szCs w:val="32"/>
          <w:lang w:val="en-US" w:eastAsia="zh-CN"/>
        </w:rPr>
        <w:t>附件1：</w:t>
      </w:r>
      <w:bookmarkEnd w:id="122"/>
    </w:p>
    <w:p w14:paraId="4E3869A7">
      <w:pPr>
        <w:keepNext w:val="0"/>
        <w:keepLines w:val="0"/>
        <w:pageBreakBefore w:val="0"/>
        <w:widowControl w:val="0"/>
        <w:kinsoku/>
        <w:wordWrap/>
        <w:overflowPunct/>
        <w:topLinePunct w:val="0"/>
        <w:autoSpaceDE/>
        <w:autoSpaceDN/>
        <w:bidi w:val="0"/>
        <w:adjustRightInd w:val="0"/>
        <w:snapToGrid w:val="0"/>
        <w:spacing w:line="640" w:lineRule="exact"/>
        <w:ind w:firstLine="0" w:firstLineChars="0"/>
        <w:jc w:val="center"/>
        <w:textAlignment w:val="auto"/>
        <w:outlineLvl w:val="0"/>
        <w:rPr>
          <w:rFonts w:hint="eastAsia" w:ascii="Arial Unicode MS" w:hAnsi="Arial Unicode MS" w:eastAsia="Arial Unicode MS" w:cs="Arial Unicode MS"/>
          <w:color w:val="auto"/>
          <w:sz w:val="44"/>
          <w:szCs w:val="44"/>
          <w:lang w:val="en-US" w:eastAsia="zh-CN"/>
        </w:rPr>
      </w:pPr>
      <w:bookmarkStart w:id="124" w:name="_Toc30879"/>
      <w:r>
        <w:rPr>
          <w:rFonts w:hint="eastAsia" w:ascii="Arial Unicode MS" w:hAnsi="Arial Unicode MS" w:eastAsia="Arial Unicode MS" w:cs="Arial Unicode MS"/>
          <w:color w:val="auto"/>
          <w:sz w:val="44"/>
          <w:szCs w:val="44"/>
          <w:lang w:val="en-US" w:eastAsia="zh-CN"/>
        </w:rPr>
        <w:t>《规划》指标中期完成情况</w:t>
      </w:r>
      <w:bookmarkEnd w:id="123"/>
      <w:bookmarkEnd w:id="124"/>
    </w:p>
    <w:p w14:paraId="05AD2050">
      <w:pPr>
        <w:pStyle w:val="5"/>
        <w:keepNext/>
        <w:keepLines/>
        <w:pageBreakBefore w:val="0"/>
        <w:widowControl w:val="0"/>
        <w:kinsoku/>
        <w:wordWrap/>
        <w:overflowPunct/>
        <w:topLinePunct w:val="0"/>
        <w:autoSpaceDE/>
        <w:autoSpaceDN/>
        <w:bidi w:val="0"/>
        <w:adjustRightInd w:val="0"/>
        <w:snapToGrid w:val="0"/>
        <w:spacing w:before="0" w:beforeLines="0" w:after="0" w:afterLines="0" w:line="640" w:lineRule="exact"/>
        <w:textAlignment w:val="auto"/>
        <w:rPr>
          <w:rFonts w:hint="eastAsia"/>
          <w:color w:val="auto"/>
          <w:lang w:val="en-US" w:eastAsia="zh-CN"/>
        </w:rPr>
      </w:pPr>
      <w:bookmarkStart w:id="125" w:name="_Toc18837_WPSOffice_Level1"/>
      <w:bookmarkStart w:id="126" w:name="_Toc530955361"/>
      <w:bookmarkStart w:id="127" w:name="_Toc530955147"/>
      <w:bookmarkStart w:id="128" w:name="_Toc1958"/>
      <w:bookmarkStart w:id="129" w:name="_Toc531514032"/>
      <w:bookmarkStart w:id="130" w:name="_Toc8698_WPSOffice_Level1"/>
      <w:bookmarkStart w:id="131" w:name="_Toc530951219"/>
      <w:bookmarkStart w:id="132" w:name="_Toc531593598"/>
      <w:bookmarkStart w:id="133" w:name="_Toc5194"/>
      <w:bookmarkStart w:id="134" w:name="_Toc3420"/>
      <w:bookmarkStart w:id="135" w:name="_Toc13881"/>
      <w:bookmarkStart w:id="136" w:name="_Toc17395"/>
      <w:bookmarkStart w:id="137" w:name="_Toc27779"/>
      <w:bookmarkStart w:id="138" w:name="_Hlk527585013"/>
    </w:p>
    <w:p w14:paraId="2EC59ABC">
      <w:pPr>
        <w:pStyle w:val="5"/>
        <w:keepNext/>
        <w:keepLines/>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黑体" w:hAnsi="黑体" w:eastAsia="黑体" w:cs="黑体"/>
          <w:b w:val="0"/>
          <w:bCs/>
          <w:color w:val="auto"/>
          <w:lang w:val="en-US" w:eastAsia="zh-CN"/>
        </w:rPr>
      </w:pPr>
      <w:bookmarkStart w:id="139" w:name="_Toc13876"/>
      <w:r>
        <w:rPr>
          <w:rFonts w:hint="eastAsia" w:ascii="黑体" w:hAnsi="黑体" w:eastAsia="黑体" w:cs="黑体"/>
          <w:b w:val="0"/>
          <w:bCs/>
          <w:color w:val="auto"/>
          <w:lang w:val="en-US" w:eastAsia="zh-CN"/>
        </w:rPr>
        <w:t xml:space="preserve">1. </w:t>
      </w:r>
      <w:r>
        <w:rPr>
          <w:rFonts w:hint="eastAsia" w:ascii="黑体" w:hAnsi="黑体" w:eastAsia="黑体" w:cs="黑体"/>
          <w:b w:val="0"/>
          <w:bCs/>
          <w:color w:val="auto"/>
        </w:rPr>
        <w:t>经济发展目标</w:t>
      </w:r>
      <w:bookmarkEnd w:id="125"/>
      <w:bookmarkEnd w:id="126"/>
      <w:bookmarkEnd w:id="127"/>
      <w:bookmarkEnd w:id="128"/>
      <w:bookmarkEnd w:id="129"/>
      <w:bookmarkEnd w:id="130"/>
      <w:bookmarkEnd w:id="131"/>
      <w:bookmarkEnd w:id="132"/>
      <w:r>
        <w:rPr>
          <w:rFonts w:hint="eastAsia" w:ascii="黑体" w:hAnsi="黑体" w:eastAsia="黑体" w:cs="黑体"/>
          <w:b w:val="0"/>
          <w:bCs/>
          <w:color w:val="auto"/>
          <w:lang w:val="en-US" w:eastAsia="zh-CN"/>
        </w:rPr>
        <w:t>稳中有进</w:t>
      </w:r>
      <w:bookmarkEnd w:id="133"/>
      <w:bookmarkEnd w:id="134"/>
      <w:bookmarkEnd w:id="135"/>
      <w:bookmarkEnd w:id="136"/>
      <w:bookmarkEnd w:id="137"/>
      <w:bookmarkEnd w:id="139"/>
    </w:p>
    <w:bookmarkEnd w:id="138"/>
    <w:p w14:paraId="22E0AB63">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楷体_GB2312" w:hAnsi="楷体_GB2312" w:eastAsia="楷体_GB2312" w:cs="楷体_GB2312"/>
          <w:b/>
          <w:bCs/>
          <w:color w:val="auto"/>
        </w:rPr>
        <w:t>（1）</w:t>
      </w:r>
      <w:bookmarkStart w:id="140" w:name="_Hlk528098725"/>
      <w:r>
        <w:rPr>
          <w:rFonts w:hint="eastAsia" w:ascii="楷体_GB2312" w:hAnsi="楷体_GB2312" w:eastAsia="楷体_GB2312" w:cs="楷体_GB2312"/>
          <w:b/>
          <w:bCs/>
          <w:color w:val="auto"/>
        </w:rPr>
        <w:t>地区生产总值</w:t>
      </w:r>
      <w:bookmarkEnd w:id="140"/>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lang w:val="en-US" w:eastAsia="zh-CN"/>
        </w:rPr>
        <w:t>含市直数据</w:t>
      </w:r>
      <w:r>
        <w:rPr>
          <w:rFonts w:hint="eastAsia" w:ascii="楷体_GB2312" w:hAnsi="楷体_GB2312" w:eastAsia="楷体_GB2312" w:cs="楷体_GB2312"/>
          <w:color w:val="auto"/>
          <w:lang w:eastAsia="zh-CN"/>
        </w:rPr>
        <w:t>）</w:t>
      </w:r>
      <w:r>
        <w:rPr>
          <w:rFonts w:hint="eastAsia" w:ascii="仿宋_GB2312" w:hAnsi="仿宋_GB2312" w:eastAsia="仿宋_GB2312" w:cs="仿宋_GB2312"/>
          <w:color w:val="auto"/>
        </w:rPr>
        <w:t>。规划目标为500亿元以上，年均增速为7%以上。</w:t>
      </w:r>
      <w:r>
        <w:rPr>
          <w:rFonts w:hint="eastAsia" w:ascii="仿宋_GB2312" w:hAnsi="仿宋_GB2312" w:eastAsia="仿宋_GB2312" w:cs="仿宋_GB2312"/>
          <w:color w:val="auto"/>
          <w:lang w:val="en-US" w:eastAsia="zh-CN"/>
        </w:rPr>
        <w:t>咸安区2020-</w:t>
      </w:r>
      <w:r>
        <w:rPr>
          <w:rFonts w:hint="eastAsia" w:ascii="仿宋_GB2312" w:hAnsi="仿宋_GB2312" w:eastAsia="仿宋_GB2312" w:cs="仿宋_GB2312"/>
          <w:color w:val="auto"/>
        </w:rPr>
        <w:t>20</w:t>
      </w:r>
      <w:r>
        <w:rPr>
          <w:rFonts w:hint="eastAsia" w:ascii="仿宋_GB2312" w:hAnsi="仿宋_GB2312" w:eastAsia="仿宋_GB2312" w:cs="仿宋_GB2312"/>
          <w:color w:val="auto"/>
          <w:lang w:val="en-US" w:eastAsia="zh-CN"/>
        </w:rPr>
        <w:t>22</w:t>
      </w:r>
      <w:r>
        <w:rPr>
          <w:rFonts w:hint="eastAsia" w:ascii="仿宋_GB2312" w:hAnsi="仿宋_GB2312" w:eastAsia="仿宋_GB2312" w:cs="仿宋_GB2312"/>
          <w:color w:val="auto"/>
        </w:rPr>
        <w:t>年</w:t>
      </w:r>
      <w:r>
        <w:rPr>
          <w:rFonts w:hint="eastAsia" w:ascii="仿宋_GB2312" w:hAnsi="仿宋_GB2312" w:eastAsia="仿宋_GB2312" w:cs="仿宋_GB2312"/>
          <w:color w:val="auto"/>
          <w:lang w:val="en-US" w:eastAsia="zh-CN"/>
        </w:rPr>
        <w:t>地区生产总值分别完成</w:t>
      </w:r>
      <w:r>
        <w:rPr>
          <w:rFonts w:hint="eastAsia" w:ascii="仿宋_GB2312" w:hAnsi="仿宋_GB2312" w:eastAsia="仿宋_GB2312" w:cs="仿宋_GB2312"/>
          <w:color w:val="auto"/>
        </w:rPr>
        <w:t>360.60</w:t>
      </w:r>
      <w:r>
        <w:rPr>
          <w:rFonts w:hint="eastAsia" w:ascii="仿宋_GB2312" w:hAnsi="仿宋_GB2312" w:eastAsia="仿宋_GB2312" w:cs="仿宋_GB2312"/>
          <w:color w:val="auto"/>
          <w:lang w:val="en-US" w:eastAsia="zh-CN"/>
        </w:rPr>
        <w:t>亿元、413.20</w:t>
      </w:r>
      <w:r>
        <w:rPr>
          <w:rFonts w:hint="eastAsia" w:ascii="仿宋_GB2312" w:hAnsi="仿宋_GB2312" w:eastAsia="仿宋_GB2312" w:cs="仿宋_GB2312"/>
          <w:color w:val="auto"/>
        </w:rPr>
        <w:t>亿元</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441.71</w:t>
      </w:r>
      <w:r>
        <w:rPr>
          <w:rFonts w:hint="eastAsia" w:ascii="仿宋_GB2312" w:hAnsi="仿宋_GB2312" w:eastAsia="仿宋_GB2312" w:cs="仿宋_GB2312"/>
          <w:color w:val="auto"/>
        </w:rPr>
        <w:t>亿元，</w:t>
      </w:r>
      <w:r>
        <w:rPr>
          <w:rFonts w:hint="eastAsia" w:ascii="仿宋_GB2312" w:hAnsi="仿宋_GB2312" w:eastAsia="仿宋_GB2312" w:cs="仿宋_GB2312"/>
          <w:color w:val="auto"/>
          <w:lang w:val="en-US" w:eastAsia="zh-CN"/>
        </w:rPr>
        <w:t>按可比价计算，年均增速为7.27%，</w:t>
      </w:r>
      <w:r>
        <w:rPr>
          <w:rFonts w:hint="eastAsia" w:ascii="仿宋_GB2312" w:hAnsi="仿宋_GB2312" w:eastAsia="仿宋_GB2312" w:cs="仿宋_GB2312"/>
          <w:color w:val="auto"/>
        </w:rPr>
        <w:t>2023年</w:t>
      </w:r>
      <w:r>
        <w:rPr>
          <w:rFonts w:hint="eastAsia" w:ascii="仿宋_GB2312" w:hAnsi="仿宋_GB2312" w:eastAsia="仿宋_GB2312" w:cs="仿宋_GB2312"/>
          <w:color w:val="auto"/>
          <w:lang w:val="en-US" w:eastAsia="zh-CN"/>
        </w:rPr>
        <w:t>上半年，</w:t>
      </w:r>
      <w:r>
        <w:rPr>
          <w:rFonts w:hint="eastAsia" w:ascii="仿宋_GB2312" w:hAnsi="仿宋_GB2312" w:eastAsia="仿宋_GB2312" w:cs="仿宋_GB2312"/>
          <w:color w:val="auto"/>
        </w:rPr>
        <w:t>全区</w:t>
      </w:r>
      <w:r>
        <w:rPr>
          <w:rFonts w:hint="eastAsia" w:ascii="仿宋_GB2312" w:hAnsi="仿宋_GB2312" w:eastAsia="仿宋_GB2312" w:cs="仿宋_GB2312"/>
          <w:color w:val="auto"/>
          <w:lang w:val="en-US" w:eastAsia="zh-CN"/>
        </w:rPr>
        <w:t>累计完成地区生产总值</w:t>
      </w:r>
      <w:r>
        <w:rPr>
          <w:rFonts w:hint="eastAsia" w:ascii="仿宋_GB2312" w:hAnsi="仿宋_GB2312" w:eastAsia="仿宋_GB2312" w:cs="仿宋_GB2312"/>
          <w:b w:val="0"/>
          <w:bCs w:val="0"/>
          <w:color w:val="auto"/>
          <w:kern w:val="2"/>
          <w:sz w:val="32"/>
          <w:szCs w:val="32"/>
          <w:lang w:val="en-US" w:eastAsia="zh-CN" w:bidi="ar-SA"/>
        </w:rPr>
        <w:t>223.94亿元</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同比</w:t>
      </w:r>
      <w:r>
        <w:rPr>
          <w:rFonts w:hint="eastAsia" w:ascii="仿宋_GB2312" w:hAnsi="仿宋_GB2312" w:eastAsia="仿宋_GB2312" w:cs="仿宋_GB2312"/>
          <w:color w:val="auto"/>
          <w:lang w:val="en-US" w:eastAsia="zh-CN"/>
        </w:rPr>
        <w:t>增长</w:t>
      </w:r>
      <w:r>
        <w:rPr>
          <w:rFonts w:hint="eastAsia" w:ascii="仿宋_GB2312" w:hAnsi="仿宋_GB2312" w:eastAsia="仿宋_GB2312" w:cs="仿宋_GB2312"/>
          <w:color w:val="auto"/>
        </w:rPr>
        <w:t>6.9%</w:t>
      </w:r>
      <w:r>
        <w:rPr>
          <w:rFonts w:hint="eastAsia" w:ascii="仿宋_GB2312" w:hAnsi="仿宋_GB2312" w:eastAsia="仿宋_GB2312" w:cs="仿宋_GB2312"/>
          <w:color w:val="auto"/>
          <w:lang w:eastAsia="zh-CN"/>
        </w:rPr>
        <w:t>，增速全市排第2，高于全市平均水平1.6个百分点。</w:t>
      </w:r>
      <w:r>
        <w:rPr>
          <w:rFonts w:hint="eastAsia" w:ascii="仿宋_GB2312" w:hAnsi="仿宋_GB2312" w:eastAsia="仿宋_GB2312" w:cs="仿宋_GB2312"/>
          <w:color w:val="auto"/>
          <w:lang w:val="en-US" w:eastAsia="zh-CN"/>
        </w:rPr>
        <w:t>该指标中期进度正常。</w:t>
      </w:r>
      <w:r>
        <w:rPr>
          <w:rFonts w:hint="eastAsia" w:ascii="仿宋_GB2312" w:hAnsi="仿宋_GB2312" w:eastAsia="仿宋_GB2312" w:cs="仿宋_GB2312"/>
          <w:color w:val="auto"/>
        </w:rPr>
        <w:t>按此趋势预测，2025年</w:t>
      </w:r>
      <w:r>
        <w:rPr>
          <w:rFonts w:hint="eastAsia" w:ascii="仿宋_GB2312" w:hAnsi="仿宋_GB2312" w:eastAsia="仿宋_GB2312" w:cs="仿宋_GB2312"/>
          <w:color w:val="auto"/>
          <w:lang w:val="en-US" w:eastAsia="zh-CN"/>
        </w:rPr>
        <w:t>预计可</w:t>
      </w:r>
      <w:r>
        <w:rPr>
          <w:rFonts w:hint="eastAsia" w:ascii="仿宋_GB2312" w:hAnsi="仿宋_GB2312" w:eastAsia="仿宋_GB2312" w:cs="仿宋_GB2312"/>
          <w:color w:val="auto"/>
        </w:rPr>
        <w:t>完成</w:t>
      </w:r>
      <w:r>
        <w:rPr>
          <w:rFonts w:hint="eastAsia" w:ascii="仿宋_GB2312" w:hAnsi="仿宋_GB2312" w:eastAsia="仿宋_GB2312" w:cs="仿宋_GB2312"/>
          <w:color w:val="auto"/>
          <w:lang w:val="en-US" w:eastAsia="zh-CN"/>
        </w:rPr>
        <w:t>地区生产总值</w:t>
      </w:r>
      <w:r>
        <w:rPr>
          <w:rFonts w:hint="eastAsia" w:ascii="仿宋_GB2312" w:hAnsi="仿宋_GB2312" w:eastAsia="仿宋_GB2312" w:cs="仿宋_GB2312"/>
          <w:color w:val="auto"/>
        </w:rPr>
        <w:t>突破500亿元</w:t>
      </w:r>
      <w:r>
        <w:rPr>
          <w:rFonts w:hint="eastAsia" w:ascii="仿宋_GB2312" w:hAnsi="仿宋_GB2312" w:eastAsia="仿宋_GB2312" w:cs="仿宋_GB2312"/>
          <w:color w:val="auto"/>
          <w:lang w:eastAsia="zh-CN"/>
        </w:rPr>
        <w:t>的</w:t>
      </w:r>
      <w:r>
        <w:rPr>
          <w:rFonts w:hint="eastAsia" w:ascii="仿宋_GB2312" w:hAnsi="仿宋_GB2312" w:eastAsia="仿宋_GB2312" w:cs="仿宋_GB2312"/>
          <w:color w:val="auto"/>
          <w:lang w:val="en-US" w:eastAsia="zh-CN"/>
        </w:rPr>
        <w:t>目标</w:t>
      </w:r>
      <w:r>
        <w:rPr>
          <w:rFonts w:hint="eastAsia" w:ascii="仿宋_GB2312" w:hAnsi="仿宋_GB2312" w:eastAsia="仿宋_GB2312" w:cs="仿宋_GB2312"/>
          <w:color w:val="auto"/>
        </w:rPr>
        <w:t>。</w:t>
      </w:r>
    </w:p>
    <w:p w14:paraId="1C05C067">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rPr>
      </w:pPr>
      <w:r>
        <w:rPr>
          <w:rFonts w:hint="eastAsia" w:ascii="楷体_GB2312" w:hAnsi="楷体_GB2312" w:eastAsia="楷体_GB2312" w:cs="楷体_GB2312"/>
          <w:b/>
          <w:bCs/>
          <w:color w:val="auto"/>
        </w:rPr>
        <w:t>（</w:t>
      </w:r>
      <w:r>
        <w:rPr>
          <w:rFonts w:hint="eastAsia" w:ascii="楷体_GB2312" w:hAnsi="楷体_GB2312" w:eastAsia="楷体_GB2312" w:cs="楷体_GB2312"/>
          <w:b/>
          <w:bCs/>
          <w:color w:val="auto"/>
          <w:lang w:val="en-US" w:eastAsia="zh-CN"/>
        </w:rPr>
        <w:t>2</w:t>
      </w:r>
      <w:r>
        <w:rPr>
          <w:rFonts w:hint="eastAsia" w:ascii="楷体_GB2312" w:hAnsi="楷体_GB2312" w:eastAsia="楷体_GB2312" w:cs="楷体_GB2312"/>
          <w:b/>
          <w:bCs/>
          <w:color w:val="auto"/>
        </w:rPr>
        <w:t>）全员劳动生产率。</w:t>
      </w:r>
      <w:r>
        <w:rPr>
          <w:rFonts w:hint="eastAsia" w:ascii="仿宋_GB2312" w:hAnsi="仿宋_GB2312" w:eastAsia="仿宋_GB2312" w:cs="仿宋_GB2312"/>
          <w:color w:val="auto"/>
        </w:rPr>
        <w:t>规划目标为年均增速7%以上。</w:t>
      </w:r>
      <w:r>
        <w:rPr>
          <w:rFonts w:hint="eastAsia" w:ascii="仿宋_GB2312" w:hAnsi="仿宋_GB2312" w:eastAsia="仿宋_GB2312" w:cs="仿宋_GB2312"/>
          <w:color w:val="auto"/>
          <w:lang w:val="en-US" w:eastAsia="zh-CN"/>
        </w:rPr>
        <w:t>咸安区2020年、</w:t>
      </w:r>
      <w:r>
        <w:rPr>
          <w:rFonts w:hint="eastAsia" w:ascii="仿宋_GB2312" w:hAnsi="仿宋_GB2312" w:eastAsia="仿宋_GB2312" w:cs="仿宋_GB2312"/>
          <w:color w:val="auto"/>
        </w:rPr>
        <w:t>2021年、2022年全员劳动生产率分别为9.7</w:t>
      </w: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rPr>
        <w:t>万元</w:t>
      </w:r>
      <w:r>
        <w:rPr>
          <w:rFonts w:hint="eastAsia" w:ascii="仿宋_GB2312" w:hAnsi="仿宋_GB2312" w:eastAsia="仿宋_GB2312" w:cs="仿宋_GB2312"/>
          <w:color w:val="auto"/>
          <w:lang w:val="en-US" w:eastAsia="zh-CN"/>
        </w:rPr>
        <w:t>/人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12.05万元</w:t>
      </w:r>
      <w:r>
        <w:rPr>
          <w:rFonts w:hint="eastAsia" w:ascii="仿宋_GB2312" w:hAnsi="仿宋_GB2312" w:eastAsia="仿宋_GB2312" w:cs="仿宋_GB2312"/>
          <w:color w:val="auto"/>
          <w:lang w:val="en-US" w:eastAsia="zh-CN"/>
        </w:rPr>
        <w:t>/人</w:t>
      </w:r>
      <w:r>
        <w:rPr>
          <w:rFonts w:hint="eastAsia" w:ascii="仿宋_GB2312" w:hAnsi="仿宋_GB2312" w:eastAsia="仿宋_GB2312" w:cs="仿宋_GB2312"/>
          <w:color w:val="auto"/>
        </w:rPr>
        <w:t>和</w:t>
      </w:r>
      <w:r>
        <w:rPr>
          <w:rFonts w:hint="eastAsia" w:ascii="仿宋_GB2312" w:hAnsi="仿宋_GB2312" w:eastAsia="仿宋_GB2312" w:cs="仿宋_GB2312"/>
          <w:color w:val="auto"/>
          <w:lang w:val="en-US" w:eastAsia="zh-CN"/>
        </w:rPr>
        <w:t>13.28</w:t>
      </w:r>
      <w:r>
        <w:rPr>
          <w:rFonts w:hint="eastAsia" w:ascii="仿宋_GB2312" w:hAnsi="仿宋_GB2312" w:eastAsia="仿宋_GB2312" w:cs="仿宋_GB2312"/>
          <w:color w:val="auto"/>
        </w:rPr>
        <w:t>万元</w:t>
      </w:r>
      <w:r>
        <w:rPr>
          <w:rFonts w:hint="eastAsia" w:ascii="仿宋_GB2312" w:hAnsi="仿宋_GB2312" w:eastAsia="仿宋_GB2312" w:cs="仿宋_GB2312"/>
          <w:color w:val="auto"/>
          <w:lang w:val="en-US" w:eastAsia="zh-CN"/>
        </w:rPr>
        <w:t>/人</w:t>
      </w:r>
      <w:r>
        <w:rPr>
          <w:rFonts w:hint="eastAsia" w:ascii="仿宋_GB2312" w:hAnsi="仿宋_GB2312" w:eastAsia="仿宋_GB2312" w:cs="仿宋_GB2312"/>
          <w:color w:val="auto"/>
        </w:rPr>
        <w:t>，年均增速为</w:t>
      </w:r>
      <w:r>
        <w:rPr>
          <w:rFonts w:hint="eastAsia" w:ascii="仿宋_GB2312" w:hAnsi="仿宋_GB2312" w:eastAsia="仿宋_GB2312" w:cs="仿宋_GB2312"/>
          <w:color w:val="auto"/>
          <w:lang w:val="en-US" w:eastAsia="zh-CN"/>
        </w:rPr>
        <w:t>16.7</w:t>
      </w:r>
      <w:r>
        <w:rPr>
          <w:rFonts w:hint="eastAsia" w:ascii="仿宋_GB2312" w:hAnsi="仿宋_GB2312" w:eastAsia="仿宋_GB2312" w:cs="仿宋_GB2312"/>
          <w:color w:val="auto"/>
        </w:rPr>
        <w:t>%，高于规划目标</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该指标中期进度超前</w:t>
      </w:r>
      <w:r>
        <w:rPr>
          <w:rFonts w:hint="eastAsia" w:ascii="仿宋_GB2312" w:hAnsi="仿宋_GB2312" w:eastAsia="仿宋_GB2312" w:cs="仿宋_GB2312"/>
          <w:color w:val="auto"/>
        </w:rPr>
        <w:t>。预计到202</w:t>
      </w: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rPr>
        <w:t>年</w:t>
      </w:r>
      <w:r>
        <w:rPr>
          <w:rFonts w:hint="eastAsia" w:ascii="仿宋_GB2312" w:hAnsi="仿宋_GB2312" w:eastAsia="仿宋_GB2312" w:cs="仿宋_GB2312"/>
          <w:color w:val="auto"/>
          <w:lang w:val="en-US" w:eastAsia="zh-CN"/>
        </w:rPr>
        <w:t>可完成预期目标</w:t>
      </w:r>
      <w:r>
        <w:rPr>
          <w:rFonts w:hint="eastAsia" w:ascii="仿宋_GB2312" w:hAnsi="仿宋_GB2312" w:eastAsia="仿宋_GB2312" w:cs="仿宋_GB2312"/>
          <w:color w:val="auto"/>
        </w:rPr>
        <w:t>。</w:t>
      </w:r>
    </w:p>
    <w:p w14:paraId="5C70FD7E">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rPr>
        <w:t>（</w:t>
      </w:r>
      <w:r>
        <w:rPr>
          <w:rFonts w:hint="eastAsia" w:ascii="楷体_GB2312" w:hAnsi="楷体_GB2312" w:eastAsia="楷体_GB2312" w:cs="楷体_GB2312"/>
          <w:b/>
          <w:bCs/>
          <w:color w:val="auto"/>
          <w:lang w:val="en-US" w:eastAsia="zh-CN"/>
        </w:rPr>
        <w:t>3</w:t>
      </w:r>
      <w:r>
        <w:rPr>
          <w:rFonts w:hint="eastAsia" w:ascii="楷体_GB2312" w:hAnsi="楷体_GB2312" w:eastAsia="楷体_GB2312" w:cs="楷体_GB2312"/>
          <w:b/>
          <w:bCs/>
          <w:color w:val="auto"/>
        </w:rPr>
        <w:t>）规模以上工业增加值。</w:t>
      </w:r>
      <w:r>
        <w:rPr>
          <w:rFonts w:hint="eastAsia" w:ascii="仿宋_GB2312" w:hAnsi="仿宋_GB2312" w:eastAsia="仿宋_GB2312" w:cs="仿宋_GB2312"/>
          <w:color w:val="auto"/>
          <w:sz w:val="32"/>
          <w:szCs w:val="32"/>
        </w:rPr>
        <w:t>规划目标为年均增速</w:t>
      </w:r>
      <w:r>
        <w:rPr>
          <w:rFonts w:hint="eastAsia" w:ascii="仿宋_GB2312" w:hAnsi="仿宋_GB2312" w:eastAsia="仿宋_GB2312" w:cs="仿宋_GB2312"/>
          <w:color w:val="auto"/>
          <w:sz w:val="32"/>
          <w:szCs w:val="32"/>
          <w:lang w:val="en-US" w:eastAsia="zh-CN"/>
        </w:rPr>
        <w:t>8.5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以上</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咸安区2021年、2022年规上</w:t>
      </w:r>
      <w:r>
        <w:rPr>
          <w:rFonts w:hint="eastAsia" w:ascii="仿宋_GB2312" w:hAnsi="仿宋_GB2312" w:eastAsia="仿宋_GB2312" w:cs="仿宋_GB2312"/>
          <w:color w:val="auto"/>
          <w:lang w:val="en-US" w:eastAsia="zh-CN"/>
        </w:rPr>
        <w:t>工业</w:t>
      </w:r>
      <w:r>
        <w:rPr>
          <w:rFonts w:hint="eastAsia" w:ascii="仿宋_GB2312" w:hAnsi="仿宋_GB2312" w:eastAsia="仿宋_GB2312" w:cs="仿宋_GB2312"/>
          <w:color w:val="auto"/>
          <w:sz w:val="32"/>
          <w:szCs w:val="32"/>
          <w:lang w:val="en-US" w:eastAsia="zh-CN"/>
        </w:rPr>
        <w:t>增加值增速分别为10.0%、6.1%，</w:t>
      </w:r>
      <w:r>
        <w:rPr>
          <w:rFonts w:hint="eastAsia" w:ascii="仿宋_GB2312" w:hAnsi="仿宋_GB2312" w:eastAsia="仿宋_GB2312" w:cs="仿宋_GB2312"/>
          <w:color w:val="auto"/>
          <w:szCs w:val="32"/>
        </w:rPr>
        <w:t>2023年上半年规模以上工业增加值增幅为8.</w:t>
      </w:r>
      <w:r>
        <w:rPr>
          <w:rFonts w:hint="eastAsia" w:ascii="仿宋_GB2312" w:hAnsi="仿宋_GB2312" w:eastAsia="仿宋_GB2312" w:cs="仿宋_GB2312"/>
          <w:color w:val="auto"/>
          <w:szCs w:val="32"/>
          <w:lang w:val="en-US" w:eastAsia="zh-CN"/>
        </w:rPr>
        <w:t>3</w:t>
      </w:r>
      <w:r>
        <w:rPr>
          <w:rFonts w:hint="eastAsia" w:ascii="仿宋_GB2312" w:hAnsi="仿宋_GB2312" w:eastAsia="仿宋_GB2312" w:cs="仿宋_GB2312"/>
          <w:color w:val="auto"/>
          <w:szCs w:val="32"/>
        </w:rPr>
        <w:t>%，该指标中期进度滞后</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随着宏观经济形势的平稳发展、咸安区新兴产业发展和重大项目支撑，预计经过努力，可完成2025年预期目标。</w:t>
      </w:r>
    </w:p>
    <w:p w14:paraId="35E5C759">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color w:val="auto"/>
          <w:sz w:val="32"/>
          <w:szCs w:val="32"/>
        </w:rPr>
      </w:pPr>
      <w:bookmarkStart w:id="141" w:name="_Hlk528098667"/>
      <w:bookmarkStart w:id="142" w:name="_Hlk527583471"/>
      <w:bookmarkStart w:id="143" w:name="_Hlk528110063"/>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）常住人口城镇化率</w:t>
      </w:r>
      <w:bookmarkEnd w:id="141"/>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规划目标为</w:t>
      </w:r>
      <w:r>
        <w:rPr>
          <w:rFonts w:hint="eastAsia" w:ascii="仿宋_GB2312" w:hAnsi="仿宋_GB2312" w:eastAsia="仿宋_GB2312" w:cs="仿宋_GB2312"/>
          <w:color w:val="auto"/>
          <w:sz w:val="32"/>
          <w:szCs w:val="32"/>
          <w:lang w:val="en-US" w:eastAsia="zh-CN"/>
        </w:rPr>
        <w:t>71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咸安区</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常住人口城镇化率已达到74.51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超前</w:t>
      </w:r>
      <w:r>
        <w:rPr>
          <w:rFonts w:hint="eastAsia" w:ascii="仿宋_GB2312" w:hAnsi="仿宋_GB2312" w:eastAsia="仿宋_GB2312" w:cs="仿宋_GB2312"/>
          <w:color w:val="auto"/>
          <w:lang w:val="en-US" w:eastAsia="zh-CN"/>
        </w:rPr>
        <w:t>完成“</w:t>
      </w:r>
      <w:r>
        <w:rPr>
          <w:rFonts w:hint="eastAsia" w:ascii="仿宋_GB2312" w:hAnsi="仿宋_GB2312" w:eastAsia="仿宋_GB2312" w:cs="仿宋_GB2312"/>
          <w:color w:val="auto"/>
          <w:sz w:val="32"/>
          <w:szCs w:val="32"/>
          <w:lang w:val="en-US" w:eastAsia="zh-CN"/>
        </w:rPr>
        <w:t>十四五</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sz w:val="32"/>
          <w:szCs w:val="32"/>
          <w:lang w:val="en-US" w:eastAsia="zh-CN"/>
        </w:rPr>
        <w:t>约束性</w:t>
      </w:r>
      <w:r>
        <w:rPr>
          <w:rFonts w:hint="eastAsia" w:ascii="仿宋_GB2312" w:hAnsi="仿宋_GB2312" w:eastAsia="仿宋_GB2312" w:cs="仿宋_GB2312"/>
          <w:color w:val="auto"/>
          <w:sz w:val="32"/>
          <w:szCs w:val="32"/>
        </w:rPr>
        <w:t>目标。预计到2025年</w:t>
      </w:r>
      <w:r>
        <w:rPr>
          <w:rFonts w:hint="eastAsia" w:ascii="仿宋_GB2312" w:hAnsi="仿宋_GB2312" w:eastAsia="仿宋_GB2312" w:cs="仿宋_GB2312"/>
          <w:color w:val="auto"/>
          <w:sz w:val="32"/>
          <w:szCs w:val="32"/>
          <w:lang w:val="en-US" w:eastAsia="zh-CN"/>
        </w:rPr>
        <w:t>咸安区</w:t>
      </w:r>
      <w:r>
        <w:rPr>
          <w:rFonts w:hint="eastAsia" w:ascii="仿宋_GB2312" w:hAnsi="仿宋_GB2312" w:eastAsia="仿宋_GB2312" w:cs="仿宋_GB2312"/>
          <w:color w:val="auto"/>
          <w:sz w:val="32"/>
          <w:szCs w:val="32"/>
        </w:rPr>
        <w:t>常住人口城镇化率可达到75%。</w:t>
      </w:r>
    </w:p>
    <w:p w14:paraId="6D54E531">
      <w:pPr>
        <w:pStyle w:val="5"/>
        <w:keepNext/>
        <w:keepLines/>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黑体" w:hAnsi="黑体" w:eastAsia="黑体" w:cs="黑体"/>
          <w:b w:val="0"/>
          <w:bCs/>
          <w:color w:val="auto"/>
          <w:lang w:val="en-US" w:eastAsia="zh-CN"/>
        </w:rPr>
      </w:pPr>
      <w:bookmarkStart w:id="144" w:name="_Toc24907_WPSOffice_Level1"/>
      <w:bookmarkStart w:id="145" w:name="_Toc530955362"/>
      <w:bookmarkStart w:id="146" w:name="_Toc18322_WPSOffice_Level1"/>
      <w:bookmarkStart w:id="147" w:name="_Toc530951220"/>
      <w:bookmarkStart w:id="148" w:name="_Toc7031"/>
      <w:bookmarkStart w:id="149" w:name="_Toc531593599"/>
      <w:bookmarkStart w:id="150" w:name="_Toc531514033"/>
      <w:bookmarkStart w:id="151" w:name="_Toc530955148"/>
      <w:bookmarkStart w:id="152" w:name="_Toc31918"/>
      <w:bookmarkStart w:id="153" w:name="_Toc16183"/>
      <w:bookmarkStart w:id="154" w:name="_Toc27710"/>
      <w:bookmarkStart w:id="155" w:name="_Toc27354"/>
      <w:bookmarkStart w:id="156" w:name="_Toc10040"/>
      <w:bookmarkStart w:id="157" w:name="_Toc11474"/>
      <w:bookmarkStart w:id="158" w:name="_Hlk527586153"/>
      <w:bookmarkStart w:id="159" w:name="_Hlk528098540"/>
      <w:r>
        <w:rPr>
          <w:rFonts w:hint="eastAsia" w:ascii="黑体" w:hAnsi="黑体" w:eastAsia="黑体" w:cs="黑体"/>
          <w:b w:val="0"/>
          <w:bCs/>
          <w:color w:val="auto"/>
          <w:lang w:val="en-US" w:eastAsia="zh-CN"/>
        </w:rPr>
        <w:t xml:space="preserve">2. </w:t>
      </w:r>
      <w:r>
        <w:rPr>
          <w:rFonts w:hint="eastAsia" w:ascii="黑体" w:hAnsi="黑体" w:eastAsia="黑体" w:cs="黑体"/>
          <w:b w:val="0"/>
          <w:bCs/>
          <w:color w:val="auto"/>
          <w:lang w:eastAsia="zh-CN"/>
        </w:rPr>
        <w:t>创新</w:t>
      </w:r>
      <w:r>
        <w:rPr>
          <w:rFonts w:hint="eastAsia" w:ascii="黑体" w:hAnsi="黑体" w:eastAsia="黑体" w:cs="黑体"/>
          <w:b w:val="0"/>
          <w:bCs/>
          <w:color w:val="auto"/>
          <w:lang w:val="en-US" w:eastAsia="zh-CN"/>
        </w:rPr>
        <w:t>能力</w:t>
      </w:r>
      <w:r>
        <w:rPr>
          <w:rFonts w:hint="eastAsia" w:ascii="黑体" w:hAnsi="黑体" w:eastAsia="黑体" w:cs="黑体"/>
          <w:b w:val="0"/>
          <w:bCs/>
          <w:color w:val="auto"/>
          <w:lang w:eastAsia="zh-CN"/>
        </w:rPr>
        <w:t>目标</w:t>
      </w:r>
      <w:bookmarkEnd w:id="144"/>
      <w:bookmarkEnd w:id="145"/>
      <w:bookmarkEnd w:id="146"/>
      <w:bookmarkEnd w:id="147"/>
      <w:bookmarkEnd w:id="148"/>
      <w:bookmarkEnd w:id="149"/>
      <w:bookmarkEnd w:id="150"/>
      <w:bookmarkEnd w:id="151"/>
      <w:r>
        <w:rPr>
          <w:rFonts w:hint="eastAsia" w:ascii="黑体" w:hAnsi="黑体" w:eastAsia="黑体" w:cs="黑体"/>
          <w:b w:val="0"/>
          <w:bCs/>
          <w:color w:val="auto"/>
          <w:lang w:val="en-US" w:eastAsia="zh-CN"/>
        </w:rPr>
        <w:t>平稳推进</w:t>
      </w:r>
      <w:bookmarkEnd w:id="152"/>
      <w:bookmarkEnd w:id="153"/>
      <w:bookmarkEnd w:id="154"/>
      <w:bookmarkEnd w:id="155"/>
      <w:bookmarkEnd w:id="156"/>
      <w:bookmarkEnd w:id="157"/>
    </w:p>
    <w:bookmarkEnd w:id="158"/>
    <w:p w14:paraId="6AC34879">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highlight w:val="red"/>
          <w:lang w:val="en-US" w:eastAsia="zh-CN"/>
        </w:rPr>
      </w:pPr>
      <w:r>
        <w:rPr>
          <w:rFonts w:hint="eastAsia" w:ascii="楷体_GB2312" w:hAnsi="楷体_GB2312" w:eastAsia="楷体_GB2312" w:cs="楷体_GB2312"/>
          <w:b/>
          <w:bCs/>
          <w:color w:val="auto"/>
        </w:rPr>
        <w:t>（</w:t>
      </w:r>
      <w:r>
        <w:rPr>
          <w:rFonts w:hint="eastAsia" w:ascii="楷体_GB2312" w:hAnsi="楷体_GB2312" w:eastAsia="楷体_GB2312" w:cs="楷体_GB2312"/>
          <w:b/>
          <w:bCs/>
          <w:color w:val="auto"/>
          <w:lang w:val="en-US" w:eastAsia="zh-CN"/>
        </w:rPr>
        <w:t>5</w:t>
      </w:r>
      <w:r>
        <w:rPr>
          <w:rFonts w:hint="eastAsia" w:ascii="楷体_GB2312" w:hAnsi="楷体_GB2312" w:eastAsia="楷体_GB2312" w:cs="楷体_GB2312"/>
          <w:b/>
          <w:bCs/>
          <w:color w:val="auto"/>
        </w:rPr>
        <w:t>）</w:t>
      </w:r>
      <w:bookmarkStart w:id="160" w:name="_Hlk528111264"/>
      <w:r>
        <w:rPr>
          <w:rFonts w:hint="eastAsia" w:ascii="楷体_GB2312" w:hAnsi="楷体_GB2312" w:eastAsia="楷体_GB2312" w:cs="楷体_GB2312"/>
          <w:b/>
          <w:bCs/>
          <w:color w:val="auto"/>
        </w:rPr>
        <w:t>研发经费投入增长。</w:t>
      </w:r>
      <w:r>
        <w:rPr>
          <w:rFonts w:hint="eastAsia" w:ascii="仿宋_GB2312" w:hAnsi="仿宋_GB2312" w:eastAsia="仿宋_GB2312" w:cs="仿宋_GB2312"/>
          <w:color w:val="auto"/>
          <w:sz w:val="32"/>
          <w:szCs w:val="32"/>
        </w:rPr>
        <w:t>规划目标为</w:t>
      </w:r>
      <w:r>
        <w:rPr>
          <w:rFonts w:hint="eastAsia" w:ascii="仿宋_GB2312" w:hAnsi="仿宋_GB2312" w:eastAsia="仿宋_GB2312" w:cs="仿宋_GB2312"/>
          <w:color w:val="auto"/>
          <w:sz w:val="32"/>
          <w:szCs w:val="32"/>
          <w:lang w:val="en-US" w:eastAsia="zh-CN"/>
        </w:rPr>
        <w:t>年均增速7</w:t>
      </w: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lang w:val="en-US" w:eastAsia="zh-CN"/>
        </w:rPr>
        <w:t>以上</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咸安区2021</w:t>
      </w:r>
      <w:r>
        <w:rPr>
          <w:rFonts w:hint="eastAsia" w:ascii="仿宋_GB2312" w:hAnsi="仿宋_GB2312" w:eastAsia="仿宋_GB2312" w:cs="仿宋_GB2312"/>
          <w:color w:val="auto"/>
          <w:sz w:val="32"/>
          <w:szCs w:val="32"/>
        </w:rPr>
        <w:t>年、20</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数据</w:t>
      </w:r>
      <w:r>
        <w:rPr>
          <w:rFonts w:hint="eastAsia" w:ascii="仿宋_GB2312" w:hAnsi="仿宋_GB2312" w:eastAsia="仿宋_GB2312" w:cs="仿宋_GB2312"/>
          <w:color w:val="auto"/>
          <w:sz w:val="32"/>
          <w:szCs w:val="32"/>
        </w:rPr>
        <w:t>分别为</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1.5%和</w:t>
      </w:r>
      <w:r>
        <w:rPr>
          <w:rFonts w:hint="eastAsia" w:ascii="仿宋_GB2312" w:hAnsi="仿宋_GB2312" w:eastAsia="仿宋_GB2312" w:cs="仿宋_GB2312"/>
          <w:color w:val="auto"/>
          <w:sz w:val="32"/>
          <w:szCs w:val="32"/>
          <w:lang w:val="en-US" w:eastAsia="zh-CN"/>
        </w:rPr>
        <w:t>-12.74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前两年平均增速为-7.12%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未</w:t>
      </w:r>
      <w:r>
        <w:rPr>
          <w:rFonts w:hint="eastAsia" w:ascii="仿宋_GB2312" w:hAnsi="仿宋_GB2312" w:eastAsia="仿宋_GB2312" w:cs="仿宋_GB2312"/>
          <w:color w:val="auto"/>
          <w:sz w:val="32"/>
          <w:szCs w:val="32"/>
        </w:rPr>
        <w:t>完成规划中期目标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主要受疫情及宏观经济形势下行</w:t>
      </w:r>
      <w:r>
        <w:rPr>
          <w:rFonts w:hint="eastAsia" w:ascii="仿宋_GB2312" w:hAnsi="仿宋_GB2312" w:eastAsia="仿宋_GB2312" w:cs="仿宋_GB2312"/>
          <w:color w:val="auto"/>
          <w:lang w:val="en-US" w:eastAsia="zh-CN"/>
        </w:rPr>
        <w:t>影响</w:t>
      </w:r>
      <w:r>
        <w:rPr>
          <w:rFonts w:hint="eastAsia" w:ascii="仿宋_GB2312" w:hAnsi="仿宋_GB2312" w:eastAsia="仿宋_GB2312" w:cs="仿宋_GB2312"/>
          <w:color w:val="auto"/>
          <w:sz w:val="32"/>
          <w:szCs w:val="32"/>
          <w:lang w:val="en-US" w:eastAsia="zh-CN"/>
        </w:rPr>
        <w:t>，企业以保生存为主，研发投入有所降低</w:t>
      </w:r>
      <w:bookmarkEnd w:id="160"/>
      <w:r>
        <w:rPr>
          <w:rFonts w:hint="eastAsia" w:ascii="仿宋_GB2312" w:hAnsi="仿宋_GB2312" w:eastAsia="仿宋_GB2312" w:cs="仿宋_GB2312"/>
          <w:color w:val="auto"/>
          <w:sz w:val="32"/>
          <w:szCs w:val="32"/>
          <w:lang w:val="en-US" w:eastAsia="zh-CN"/>
        </w:rPr>
        <w:t>。该指标</w:t>
      </w:r>
      <w:r>
        <w:rPr>
          <w:rFonts w:hint="eastAsia" w:ascii="仿宋_GB2312" w:hAnsi="仿宋_GB2312" w:eastAsia="仿宋_GB2312" w:cs="仿宋_GB2312"/>
          <w:color w:val="auto"/>
          <w:sz w:val="32"/>
          <w:szCs w:val="32"/>
          <w:highlight w:val="none"/>
        </w:rPr>
        <w:t>到2025年</w:t>
      </w:r>
      <w:r>
        <w:rPr>
          <w:rFonts w:hint="eastAsia" w:ascii="仿宋_GB2312" w:hAnsi="仿宋_GB2312" w:eastAsia="仿宋_GB2312" w:cs="仿宋_GB2312"/>
          <w:color w:val="auto"/>
          <w:sz w:val="32"/>
          <w:szCs w:val="32"/>
          <w:highlight w:val="none"/>
          <w:lang w:val="en-US" w:eastAsia="zh-CN"/>
        </w:rPr>
        <w:t>实现规划目标有较大压力，但2023年上半年咸安区工业生产由负转正，全区规上工业增加值增速由1-5月的负增长转为正增长，提高了16.6个百分点，总体好于预期，体现出较好发展势头，</w:t>
      </w:r>
      <w:r>
        <w:rPr>
          <w:rFonts w:hint="eastAsia" w:ascii="仿宋_GB2312" w:hAnsi="仿宋_GB2312" w:eastAsia="仿宋_GB2312" w:cs="仿宋_GB2312"/>
          <w:color w:val="auto"/>
          <w:sz w:val="32"/>
          <w:szCs w:val="32"/>
          <w:lang w:val="en-US" w:eastAsia="zh-CN"/>
        </w:rPr>
        <w:t>随着经济环境进一步好转，企业产能恢复，汽车制造、生物医药、电子信息三大新兴产业快速增长拉动，高新技术企业数量不断壮大，企业研发经费投入增长仍有望实现规划目标</w:t>
      </w:r>
      <w:r>
        <w:rPr>
          <w:rFonts w:hint="eastAsia" w:ascii="仿宋_GB2312" w:hAnsi="仿宋_GB2312" w:eastAsia="仿宋_GB2312" w:cs="仿宋_GB2312"/>
          <w:color w:val="auto"/>
          <w:sz w:val="32"/>
          <w:szCs w:val="32"/>
          <w:highlight w:val="none"/>
          <w:lang w:val="en-US" w:eastAsia="zh-CN"/>
        </w:rPr>
        <w:t>。</w:t>
      </w:r>
    </w:p>
    <w:p w14:paraId="6BD1CE02">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rPr>
        <w:t>（</w:t>
      </w:r>
      <w:r>
        <w:rPr>
          <w:rFonts w:hint="eastAsia" w:ascii="楷体_GB2312" w:hAnsi="楷体_GB2312" w:eastAsia="楷体_GB2312" w:cs="楷体_GB2312"/>
          <w:b/>
          <w:bCs/>
          <w:color w:val="auto"/>
          <w:lang w:val="en-US" w:eastAsia="zh-CN"/>
        </w:rPr>
        <w:t>6</w:t>
      </w:r>
      <w:r>
        <w:rPr>
          <w:rFonts w:hint="eastAsia" w:ascii="楷体_GB2312" w:hAnsi="楷体_GB2312" w:eastAsia="楷体_GB2312" w:cs="楷体_GB2312"/>
          <w:b/>
          <w:bCs/>
          <w:color w:val="auto"/>
        </w:rPr>
        <w:t>）每万人发明专利拥有量</w:t>
      </w:r>
      <w:bookmarkEnd w:id="159"/>
      <w:r>
        <w:rPr>
          <w:rFonts w:hint="eastAsia" w:ascii="楷体_GB2312" w:hAnsi="楷体_GB2312" w:eastAsia="楷体_GB2312" w:cs="楷体_GB2312"/>
          <w:b/>
          <w:bCs/>
          <w:color w:val="auto"/>
        </w:rPr>
        <w:t>。</w:t>
      </w:r>
      <w:r>
        <w:rPr>
          <w:rFonts w:hint="eastAsia" w:ascii="仿宋_GB2312" w:hAnsi="仿宋_GB2312" w:eastAsia="仿宋_GB2312" w:cs="仿宋_GB2312"/>
          <w:color w:val="auto"/>
          <w:sz w:val="32"/>
          <w:szCs w:val="32"/>
        </w:rPr>
        <w:t>规划目标为</w:t>
      </w:r>
      <w:r>
        <w:rPr>
          <w:rFonts w:hint="eastAsia" w:ascii="仿宋_GB2312" w:hAnsi="仿宋_GB2312" w:eastAsia="仿宋_GB2312" w:cs="仿宋_GB2312"/>
          <w:color w:val="auto"/>
          <w:sz w:val="32"/>
          <w:szCs w:val="32"/>
          <w:lang w:val="en-US" w:eastAsia="zh-CN"/>
        </w:rPr>
        <w:t>5.1</w:t>
      </w:r>
      <w:r>
        <w:rPr>
          <w:rFonts w:hint="eastAsia" w:ascii="仿宋_GB2312" w:hAnsi="仿宋_GB2312" w:eastAsia="仿宋_GB2312" w:cs="仿宋_GB2312"/>
          <w:color w:val="auto"/>
          <w:sz w:val="32"/>
          <w:szCs w:val="32"/>
        </w:rPr>
        <w:t>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咸安区</w:t>
      </w:r>
      <w:r>
        <w:rPr>
          <w:rFonts w:hint="eastAsia" w:ascii="仿宋_GB2312" w:hAnsi="仿宋_GB2312" w:eastAsia="仿宋_GB2312" w:cs="仿宋_GB2312"/>
          <w:color w:val="auto"/>
          <w:sz w:val="32"/>
          <w:szCs w:val="32"/>
          <w:lang w:eastAsia="zh-CN"/>
        </w:rPr>
        <w:t>2021年、2022年</w:t>
      </w:r>
      <w:r>
        <w:rPr>
          <w:rFonts w:hint="eastAsia" w:ascii="仿宋_GB2312" w:hAnsi="仿宋_GB2312" w:eastAsia="仿宋_GB2312" w:cs="仿宋_GB2312"/>
          <w:color w:val="auto"/>
          <w:sz w:val="32"/>
          <w:szCs w:val="32"/>
          <w:lang w:val="en-US" w:eastAsia="zh-CN"/>
        </w:rPr>
        <w:t>数据</w:t>
      </w:r>
      <w:r>
        <w:rPr>
          <w:rFonts w:hint="eastAsia" w:ascii="仿宋_GB2312" w:hAnsi="仿宋_GB2312" w:eastAsia="仿宋_GB2312" w:cs="仿宋_GB2312"/>
          <w:color w:val="auto"/>
          <w:sz w:val="32"/>
          <w:szCs w:val="32"/>
          <w:lang w:eastAsia="zh-CN"/>
        </w:rPr>
        <w:t>分别为</w:t>
      </w:r>
      <w:r>
        <w:rPr>
          <w:rFonts w:hint="eastAsia" w:ascii="仿宋_GB2312" w:hAnsi="仿宋_GB2312" w:eastAsia="仿宋_GB2312" w:cs="仿宋_GB2312"/>
          <w:color w:val="auto"/>
          <w:sz w:val="32"/>
          <w:szCs w:val="32"/>
          <w:lang w:val="en-US" w:eastAsia="zh-CN"/>
        </w:rPr>
        <w:t>5.23</w:t>
      </w:r>
      <w:r>
        <w:rPr>
          <w:rFonts w:hint="eastAsia" w:ascii="仿宋_GB2312" w:hAnsi="仿宋_GB2312" w:eastAsia="仿宋_GB2312" w:cs="仿宋_GB2312"/>
          <w:color w:val="auto"/>
          <w:sz w:val="32"/>
          <w:szCs w:val="32"/>
          <w:lang w:eastAsia="zh-CN"/>
        </w:rPr>
        <w:t>件和</w:t>
      </w:r>
      <w:r>
        <w:rPr>
          <w:rFonts w:hint="eastAsia" w:ascii="仿宋_GB2312" w:hAnsi="仿宋_GB2312" w:eastAsia="仿宋_GB2312" w:cs="仿宋_GB2312"/>
          <w:color w:val="auto"/>
          <w:sz w:val="32"/>
          <w:szCs w:val="32"/>
          <w:lang w:val="en-US" w:eastAsia="zh-CN"/>
        </w:rPr>
        <w:t>7.22</w:t>
      </w:r>
      <w:r>
        <w:rPr>
          <w:rFonts w:hint="eastAsia" w:ascii="仿宋_GB2312" w:hAnsi="仿宋_GB2312" w:eastAsia="仿宋_GB2312" w:cs="仿宋_GB2312"/>
          <w:color w:val="auto"/>
          <w:sz w:val="32"/>
          <w:szCs w:val="32"/>
          <w:lang w:eastAsia="zh-CN"/>
        </w:rPr>
        <w:t>件，已超前完成“十四五”规划目标</w:t>
      </w:r>
      <w:r>
        <w:rPr>
          <w:rFonts w:hint="eastAsia" w:ascii="仿宋_GB2312" w:hAnsi="仿宋_GB2312" w:eastAsia="仿宋_GB2312" w:cs="仿宋_GB2312"/>
          <w:color w:val="auto"/>
          <w:sz w:val="32"/>
          <w:szCs w:val="32"/>
          <w:lang w:val="en-US" w:eastAsia="zh-CN"/>
        </w:rPr>
        <w:t>。</w:t>
      </w:r>
    </w:p>
    <w:p w14:paraId="1F735620">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bookmarkStart w:id="161" w:name="_Hlk527586306"/>
      <w:r>
        <w:rPr>
          <w:rFonts w:hint="eastAsia" w:ascii="楷体_GB2312" w:hAnsi="楷体_GB2312" w:eastAsia="楷体_GB2312" w:cs="楷体_GB2312"/>
          <w:b/>
          <w:bCs/>
          <w:color w:val="auto"/>
        </w:rPr>
        <w:t>（</w:t>
      </w:r>
      <w:r>
        <w:rPr>
          <w:rFonts w:hint="eastAsia" w:ascii="楷体_GB2312" w:hAnsi="楷体_GB2312" w:eastAsia="楷体_GB2312" w:cs="楷体_GB2312"/>
          <w:b/>
          <w:bCs/>
          <w:color w:val="auto"/>
          <w:lang w:val="en-US" w:eastAsia="zh-CN"/>
        </w:rPr>
        <w:t>7</w:t>
      </w:r>
      <w:r>
        <w:rPr>
          <w:rFonts w:hint="eastAsia" w:ascii="楷体_GB2312" w:hAnsi="楷体_GB2312" w:eastAsia="楷体_GB2312" w:cs="楷体_GB2312"/>
          <w:b/>
          <w:bCs/>
          <w:color w:val="auto"/>
        </w:rPr>
        <w:t>）</w:t>
      </w:r>
      <w:bookmarkEnd w:id="161"/>
      <w:bookmarkStart w:id="162" w:name="_Hlk528098474"/>
      <w:r>
        <w:rPr>
          <w:rFonts w:hint="eastAsia" w:ascii="楷体_GB2312" w:hAnsi="楷体_GB2312" w:eastAsia="楷体_GB2312" w:cs="楷体_GB2312"/>
          <w:b/>
          <w:bCs/>
          <w:color w:val="auto"/>
        </w:rPr>
        <w:t>高新技术产业增加值占GDP比重</w:t>
      </w:r>
      <w:bookmarkEnd w:id="162"/>
      <w:r>
        <w:rPr>
          <w:rFonts w:hint="eastAsia" w:ascii="楷体_GB2312" w:hAnsi="楷体_GB2312" w:eastAsia="楷体_GB2312" w:cs="楷体_GB2312"/>
          <w:b/>
          <w:bCs/>
          <w:color w:val="auto"/>
        </w:rPr>
        <w:t>。</w:t>
      </w:r>
      <w:r>
        <w:rPr>
          <w:rFonts w:hint="eastAsia" w:ascii="仿宋_GB2312" w:hAnsi="仿宋_GB2312" w:eastAsia="仿宋_GB2312" w:cs="仿宋_GB2312"/>
          <w:color w:val="auto"/>
          <w:sz w:val="32"/>
          <w:szCs w:val="32"/>
        </w:rPr>
        <w:t>规划目标为</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咸安区2020-2022</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数据</w:t>
      </w:r>
      <w:r>
        <w:rPr>
          <w:rFonts w:hint="eastAsia" w:ascii="仿宋_GB2312" w:hAnsi="仿宋_GB2312" w:eastAsia="仿宋_GB2312" w:cs="仿宋_GB2312"/>
          <w:color w:val="auto"/>
          <w:sz w:val="32"/>
          <w:szCs w:val="32"/>
        </w:rPr>
        <w:t>分别为</w:t>
      </w:r>
      <w:r>
        <w:rPr>
          <w:rFonts w:hint="eastAsia" w:ascii="仿宋_GB2312" w:hAnsi="仿宋_GB2312" w:eastAsia="仿宋_GB2312" w:cs="仿宋_GB2312"/>
          <w:color w:val="auto"/>
          <w:sz w:val="32"/>
          <w:szCs w:val="32"/>
          <w:lang w:val="en-US" w:eastAsia="zh-CN"/>
        </w:rPr>
        <w:t>21.97%、20.75</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val="en-US" w:eastAsia="zh-CN"/>
        </w:rPr>
        <w:t>22.66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该指标中期进度超前</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预计到2025年可实现预期目标。</w:t>
      </w:r>
    </w:p>
    <w:p w14:paraId="514266D1">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rPr>
        <w:t>（</w:t>
      </w:r>
      <w:r>
        <w:rPr>
          <w:rFonts w:hint="eastAsia" w:ascii="楷体_GB2312" w:hAnsi="楷体_GB2312" w:eastAsia="楷体_GB2312" w:cs="楷体_GB2312"/>
          <w:b/>
          <w:bCs/>
          <w:color w:val="auto"/>
          <w:lang w:val="en-US" w:eastAsia="zh-CN"/>
        </w:rPr>
        <w:t>8</w:t>
      </w:r>
      <w:r>
        <w:rPr>
          <w:rFonts w:hint="eastAsia" w:ascii="楷体_GB2312" w:hAnsi="楷体_GB2312" w:eastAsia="楷体_GB2312" w:cs="楷体_GB2312"/>
          <w:b/>
          <w:bCs/>
          <w:color w:val="auto"/>
        </w:rPr>
        <w:t>）数字经济核心产业增加值占GDP比重。</w:t>
      </w:r>
      <w:r>
        <w:rPr>
          <w:rFonts w:hint="eastAsia" w:ascii="仿宋_GB2312" w:hAnsi="仿宋_GB2312" w:eastAsia="仿宋_GB2312" w:cs="仿宋_GB2312"/>
          <w:color w:val="auto"/>
          <w:sz w:val="32"/>
          <w:szCs w:val="32"/>
        </w:rPr>
        <w:t>规划目标为1</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2021</w:t>
      </w:r>
      <w:r>
        <w:rPr>
          <w:rFonts w:hint="eastAsia" w:ascii="仿宋_GB2312" w:hAnsi="仿宋_GB2312" w:eastAsia="仿宋_GB2312" w:cs="仿宋_GB2312"/>
          <w:color w:val="auto"/>
          <w:sz w:val="32"/>
          <w:szCs w:val="32"/>
        </w:rPr>
        <w:t>年、20</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年分别为</w:t>
      </w:r>
      <w:r>
        <w:rPr>
          <w:rFonts w:hint="eastAsia" w:ascii="仿宋_GB2312" w:hAnsi="仿宋_GB2312" w:eastAsia="仿宋_GB2312" w:cs="仿宋_GB2312"/>
          <w:color w:val="auto"/>
          <w:sz w:val="32"/>
          <w:szCs w:val="32"/>
          <w:lang w:val="en-US" w:eastAsia="zh-CN"/>
        </w:rPr>
        <w:t>3%、7%</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2023年上半年为5%，该指标中期进度正常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预计到2025年可实现预期目标。</w:t>
      </w:r>
    </w:p>
    <w:p w14:paraId="75E29406">
      <w:pPr>
        <w:pStyle w:val="5"/>
        <w:keepNext/>
        <w:keepLines/>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黑体" w:hAnsi="黑体" w:eastAsia="黑体" w:cs="黑体"/>
          <w:b w:val="0"/>
          <w:bCs/>
          <w:color w:val="auto"/>
          <w:lang w:val="en-US" w:eastAsia="zh-CN"/>
        </w:rPr>
      </w:pPr>
      <w:bookmarkStart w:id="163" w:name="_Toc17137"/>
      <w:bookmarkStart w:id="164" w:name="_Toc2044"/>
      <w:bookmarkStart w:id="165" w:name="_Toc15641"/>
      <w:bookmarkStart w:id="166" w:name="_Toc23847"/>
      <w:bookmarkStart w:id="167" w:name="_Toc23265"/>
      <w:bookmarkStart w:id="168" w:name="_Toc26865"/>
      <w:bookmarkStart w:id="169" w:name="_Toc18946"/>
      <w:r>
        <w:rPr>
          <w:rFonts w:hint="eastAsia" w:ascii="黑体" w:hAnsi="黑体" w:eastAsia="黑体" w:cs="黑体"/>
          <w:b w:val="0"/>
          <w:bCs/>
          <w:color w:val="auto"/>
          <w:lang w:val="en-US" w:eastAsia="zh-CN"/>
        </w:rPr>
        <w:t>3. 民生就业</w:t>
      </w:r>
      <w:r>
        <w:rPr>
          <w:rFonts w:hint="eastAsia" w:ascii="黑体" w:hAnsi="黑体" w:eastAsia="黑体" w:cs="黑体"/>
          <w:b w:val="0"/>
          <w:bCs/>
          <w:color w:val="auto"/>
        </w:rPr>
        <w:t>目标</w:t>
      </w:r>
      <w:bookmarkEnd w:id="163"/>
      <w:r>
        <w:rPr>
          <w:rFonts w:hint="eastAsia" w:ascii="黑体" w:hAnsi="黑体" w:eastAsia="黑体" w:cs="黑体"/>
          <w:b w:val="0"/>
          <w:bCs/>
          <w:color w:val="auto"/>
          <w:lang w:val="en-US" w:eastAsia="zh-CN"/>
        </w:rPr>
        <w:t>总体超前</w:t>
      </w:r>
      <w:bookmarkEnd w:id="164"/>
      <w:bookmarkEnd w:id="165"/>
      <w:bookmarkEnd w:id="166"/>
      <w:bookmarkEnd w:id="167"/>
      <w:bookmarkEnd w:id="168"/>
      <w:bookmarkEnd w:id="169"/>
    </w:p>
    <w:p w14:paraId="1B7911B7">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lang w:val="en-US" w:eastAsia="zh-CN"/>
        </w:rPr>
        <w:t>（9）城镇居民人均可支配收入。</w:t>
      </w:r>
      <w:r>
        <w:rPr>
          <w:rFonts w:hint="eastAsia" w:ascii="仿宋_GB2312" w:hAnsi="仿宋_GB2312" w:eastAsia="仿宋_GB2312" w:cs="仿宋_GB2312"/>
          <w:color w:val="auto"/>
          <w:sz w:val="32"/>
          <w:szCs w:val="32"/>
          <w:lang w:val="en-US" w:eastAsia="zh-CN"/>
        </w:rPr>
        <w:t>规划目标为年均增速与经济增长同步。咸安区2020-</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数据</w:t>
      </w:r>
      <w:r>
        <w:rPr>
          <w:rFonts w:hint="eastAsia" w:ascii="仿宋_GB2312" w:hAnsi="仿宋_GB2312" w:eastAsia="仿宋_GB2312" w:cs="仿宋_GB2312"/>
          <w:color w:val="auto"/>
          <w:sz w:val="32"/>
          <w:szCs w:val="32"/>
        </w:rPr>
        <w:t>分别为36585</w:t>
      </w:r>
      <w:r>
        <w:rPr>
          <w:rFonts w:hint="eastAsia" w:ascii="仿宋_GB2312" w:hAnsi="仿宋_GB2312" w:eastAsia="仿宋_GB2312" w:cs="仿宋_GB2312"/>
          <w:color w:val="auto"/>
          <w:sz w:val="32"/>
          <w:szCs w:val="32"/>
          <w:lang w:val="en-US" w:eastAsia="zh-CN"/>
        </w:rPr>
        <w:t>元、40755元、43771元，年均增速为9.38%，高于前两年全区GDP年均增速。2023上半年，城镇常住居民人均可支配收入为18870元，同比增长5.6%，全市排第1。该指标中期进度超前。</w:t>
      </w:r>
      <w:r>
        <w:rPr>
          <w:rFonts w:hint="eastAsia" w:ascii="仿宋_GB2312" w:hAnsi="仿宋_GB2312" w:eastAsia="仿宋_GB2312" w:cs="仿宋_GB2312"/>
          <w:color w:val="auto"/>
          <w:sz w:val="32"/>
          <w:szCs w:val="32"/>
        </w:rPr>
        <w:t>预计2025年</w:t>
      </w:r>
      <w:r>
        <w:rPr>
          <w:rFonts w:hint="eastAsia" w:ascii="仿宋_GB2312" w:hAnsi="仿宋_GB2312" w:eastAsia="仿宋_GB2312" w:cs="仿宋_GB2312"/>
          <w:color w:val="auto"/>
          <w:sz w:val="32"/>
          <w:szCs w:val="32"/>
          <w:lang w:val="en-US" w:eastAsia="zh-CN"/>
        </w:rPr>
        <w:t>可实现预期目标。</w:t>
      </w:r>
    </w:p>
    <w:p w14:paraId="1EDF7CF3">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lang w:val="en-US" w:eastAsia="zh-CN"/>
        </w:rPr>
        <w:t>（10）农村居民人均可支配收入。</w:t>
      </w:r>
      <w:r>
        <w:rPr>
          <w:rFonts w:hint="eastAsia" w:ascii="仿宋_GB2312" w:hAnsi="仿宋_GB2312" w:eastAsia="仿宋_GB2312" w:cs="仿宋_GB2312"/>
          <w:color w:val="auto"/>
          <w:sz w:val="32"/>
          <w:szCs w:val="32"/>
          <w:lang w:val="en-US" w:eastAsia="zh-CN"/>
        </w:rPr>
        <w:t>规划目标为年均增速与经济增长同步。咸安区2020-</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数据</w:t>
      </w:r>
      <w:r>
        <w:rPr>
          <w:rFonts w:hint="eastAsia" w:ascii="仿宋_GB2312" w:hAnsi="仿宋_GB2312" w:eastAsia="仿宋_GB2312" w:cs="仿宋_GB2312"/>
          <w:color w:val="auto"/>
          <w:sz w:val="32"/>
          <w:szCs w:val="32"/>
        </w:rPr>
        <w:t>分别为</w:t>
      </w:r>
      <w:r>
        <w:rPr>
          <w:rFonts w:hint="eastAsia" w:ascii="仿宋_GB2312" w:hAnsi="仿宋_GB2312" w:eastAsia="仿宋_GB2312" w:cs="仿宋_GB2312"/>
          <w:color w:val="auto"/>
          <w:sz w:val="32"/>
          <w:szCs w:val="32"/>
          <w:lang w:val="en-US" w:eastAsia="zh-CN"/>
        </w:rPr>
        <w:t>17904元、20257元、21898元，年均增速为10.59%，高于前两年全区GDP年均增速。2023上半年，农村常住居民人均可支配收入为9688元，增长7.8%。该指标中期进度超前。</w:t>
      </w:r>
      <w:r>
        <w:rPr>
          <w:rFonts w:hint="eastAsia" w:ascii="仿宋_GB2312" w:hAnsi="仿宋_GB2312" w:eastAsia="仿宋_GB2312" w:cs="仿宋_GB2312"/>
          <w:color w:val="auto"/>
          <w:sz w:val="32"/>
          <w:szCs w:val="32"/>
        </w:rPr>
        <w:t>预计2025年</w:t>
      </w:r>
      <w:r>
        <w:rPr>
          <w:rFonts w:hint="eastAsia" w:ascii="仿宋_GB2312" w:hAnsi="仿宋_GB2312" w:eastAsia="仿宋_GB2312" w:cs="仿宋_GB2312"/>
          <w:color w:val="auto"/>
          <w:sz w:val="32"/>
          <w:szCs w:val="32"/>
          <w:lang w:val="en-US" w:eastAsia="zh-CN"/>
        </w:rPr>
        <w:t>可实现预期目标。</w:t>
      </w:r>
    </w:p>
    <w:p w14:paraId="2B017E33">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楷体_GB2312" w:hAnsi="楷体_GB2312" w:eastAsia="楷体_GB2312" w:cs="楷体_GB2312"/>
          <w:b/>
          <w:bCs/>
          <w:color w:val="auto"/>
          <w:lang w:val="en-US" w:eastAsia="zh-CN"/>
        </w:rPr>
        <w:t>（11）城镇调查失业率。</w:t>
      </w:r>
      <w:r>
        <w:rPr>
          <w:rFonts w:hint="eastAsia" w:ascii="仿宋_GB2312" w:hAnsi="仿宋_GB2312" w:eastAsia="仿宋_GB2312" w:cs="仿宋_GB2312"/>
          <w:color w:val="auto"/>
          <w:lang w:val="en-US" w:eastAsia="zh-CN"/>
        </w:rPr>
        <w:t>规划目标为各年度视情况提出目标。2021、2022年湖北省、咸宁市均未公布城镇调查失业率。参照城镇登记失业率情况，2021年、2022年咸安区城镇登记失业率分别为2.64%、4.1%，均低于同期湖北省平均水平，评估认为</w:t>
      </w:r>
      <w:r>
        <w:rPr>
          <w:rFonts w:hint="eastAsia" w:ascii="仿宋_GB2312" w:hAnsi="仿宋_GB2312" w:eastAsia="仿宋_GB2312" w:cs="仿宋_GB2312"/>
          <w:color w:val="auto"/>
          <w:sz w:val="32"/>
          <w:szCs w:val="32"/>
          <w:lang w:val="en-US" w:eastAsia="zh-CN"/>
        </w:rPr>
        <w:t>咸安区失业率控制在规划目标范围内</w:t>
      </w:r>
      <w:r>
        <w:rPr>
          <w:rFonts w:hint="eastAsia" w:ascii="仿宋_GB2312" w:hAnsi="仿宋_GB2312" w:eastAsia="仿宋_GB2312" w:cs="仿宋_GB2312"/>
          <w:color w:val="auto"/>
          <w:lang w:val="en-US" w:eastAsia="zh-CN"/>
        </w:rPr>
        <w:t>。</w:t>
      </w:r>
    </w:p>
    <w:p w14:paraId="2EF58E97">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rPr>
      </w:pPr>
      <w:r>
        <w:rPr>
          <w:rFonts w:hint="eastAsia" w:ascii="楷体_GB2312" w:hAnsi="楷体_GB2312" w:eastAsia="楷体_GB2312" w:cs="楷体_GB2312"/>
          <w:b/>
          <w:bCs/>
          <w:color w:val="auto"/>
        </w:rPr>
        <w:t>（</w:t>
      </w:r>
      <w:r>
        <w:rPr>
          <w:rFonts w:hint="eastAsia" w:ascii="楷体_GB2312" w:hAnsi="楷体_GB2312" w:eastAsia="楷体_GB2312" w:cs="楷体_GB2312"/>
          <w:b/>
          <w:bCs/>
          <w:color w:val="auto"/>
          <w:lang w:val="en-US" w:eastAsia="zh-CN"/>
        </w:rPr>
        <w:t>12</w:t>
      </w:r>
      <w:r>
        <w:rPr>
          <w:rFonts w:hint="eastAsia" w:ascii="楷体_GB2312" w:hAnsi="楷体_GB2312" w:eastAsia="楷体_GB2312" w:cs="楷体_GB2312"/>
          <w:b/>
          <w:bCs/>
          <w:color w:val="auto"/>
        </w:rPr>
        <w:t>）</w:t>
      </w:r>
      <w:bookmarkStart w:id="170" w:name="_Hlk528098109"/>
      <w:r>
        <w:rPr>
          <w:rFonts w:hint="eastAsia" w:ascii="楷体_GB2312" w:hAnsi="楷体_GB2312" w:eastAsia="楷体_GB2312" w:cs="楷体_GB2312"/>
          <w:b/>
          <w:bCs/>
          <w:color w:val="auto"/>
        </w:rPr>
        <w:t>人均预期寿命</w:t>
      </w:r>
      <w:bookmarkEnd w:id="170"/>
      <w:r>
        <w:rPr>
          <w:rFonts w:hint="eastAsia" w:ascii="楷体_GB2312" w:hAnsi="楷体_GB2312" w:eastAsia="楷体_GB2312" w:cs="楷体_GB2312"/>
          <w:b/>
          <w:bCs/>
          <w:color w:val="auto"/>
        </w:rPr>
        <w:t>。</w:t>
      </w:r>
      <w:r>
        <w:rPr>
          <w:rFonts w:hint="eastAsia" w:ascii="仿宋_GB2312" w:hAnsi="仿宋_GB2312" w:eastAsia="仿宋_GB2312" w:cs="仿宋_GB2312"/>
          <w:color w:val="auto"/>
        </w:rPr>
        <w:t>规划目标为78.5岁，较</w:t>
      </w:r>
      <w:r>
        <w:rPr>
          <w:rFonts w:hint="eastAsia" w:ascii="仿宋_GB2312" w:hAnsi="仿宋_GB2312" w:eastAsia="仿宋_GB2312" w:cs="仿宋_GB2312"/>
          <w:color w:val="auto"/>
          <w:lang w:val="en-US" w:eastAsia="zh-CN"/>
        </w:rPr>
        <w:t>2020</w:t>
      </w:r>
      <w:r>
        <w:rPr>
          <w:rFonts w:hint="eastAsia" w:ascii="仿宋_GB2312" w:hAnsi="仿宋_GB2312" w:eastAsia="仿宋_GB2312" w:cs="仿宋_GB2312"/>
          <w:color w:val="auto"/>
        </w:rPr>
        <w:t>年增加0.5岁。</w:t>
      </w:r>
      <w:r>
        <w:rPr>
          <w:rFonts w:hint="eastAsia" w:ascii="仿宋_GB2312" w:hAnsi="仿宋_GB2312" w:eastAsia="仿宋_GB2312" w:cs="仿宋_GB2312"/>
          <w:color w:val="auto"/>
          <w:lang w:val="en-US" w:eastAsia="zh-CN"/>
        </w:rPr>
        <w:t>2023年上半年为78.14岁，累计增加0.14岁，该指标中期进度基本正常。</w:t>
      </w:r>
      <w:r>
        <w:rPr>
          <w:rFonts w:hint="eastAsia" w:ascii="仿宋_GB2312" w:hAnsi="仿宋_GB2312" w:eastAsia="仿宋_GB2312" w:cs="仿宋_GB2312"/>
          <w:color w:val="auto"/>
          <w:sz w:val="32"/>
          <w:szCs w:val="32"/>
          <w:lang w:val="en-US" w:eastAsia="zh-CN"/>
        </w:rPr>
        <w:t>预计2025年可实现</w:t>
      </w:r>
      <w:r>
        <w:rPr>
          <w:rFonts w:hint="eastAsia" w:ascii="仿宋_GB2312" w:hAnsi="仿宋_GB2312" w:eastAsia="仿宋_GB2312" w:cs="仿宋_GB2312"/>
          <w:color w:val="auto"/>
          <w:lang w:val="en-US" w:eastAsia="zh-CN"/>
        </w:rPr>
        <w:t>预期</w:t>
      </w:r>
      <w:r>
        <w:rPr>
          <w:rFonts w:hint="eastAsia" w:ascii="仿宋_GB2312" w:hAnsi="仿宋_GB2312" w:eastAsia="仿宋_GB2312" w:cs="仿宋_GB2312"/>
          <w:color w:val="auto"/>
          <w:sz w:val="32"/>
          <w:szCs w:val="32"/>
          <w:lang w:val="en-US" w:eastAsia="zh-CN"/>
        </w:rPr>
        <w:t>目标。</w:t>
      </w:r>
    </w:p>
    <w:p w14:paraId="4A80A374">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楷体_GB2312" w:hAnsi="楷体_GB2312" w:eastAsia="楷体_GB2312" w:cs="楷体_GB2312"/>
          <w:b/>
          <w:bCs/>
          <w:color w:val="auto"/>
          <w:lang w:val="en-US" w:eastAsia="zh-CN"/>
        </w:rPr>
        <w:t>（13）劳动年龄人口平均受教育年限。</w:t>
      </w:r>
      <w:r>
        <w:rPr>
          <w:rFonts w:hint="eastAsia" w:ascii="仿宋_GB2312" w:hAnsi="仿宋_GB2312" w:eastAsia="仿宋_GB2312" w:cs="仿宋_GB2312"/>
          <w:color w:val="auto"/>
          <w:lang w:val="en-US" w:eastAsia="zh-CN"/>
        </w:rPr>
        <w:t>规划目标为11.4年，该目标值与《咸宁市教育事业“十四五”发展规划》提出的全市发展目标保持一致，咸安区未单独统计。“十四五”以来，咸安区高中教育、职业教育和高等教育毛入学率不断提高，且拥有市区一体教育优势，主要教育资源集中在咸安区，全市高学历高素质就业人口集中在咸安区，评估认为咸安区劳动年龄人口平均受教育年限指标进度正常。预计到2025年可实现预期目标。</w:t>
      </w:r>
    </w:p>
    <w:p w14:paraId="09B30D92">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楷体_GB2312" w:hAnsi="楷体_GB2312" w:eastAsia="楷体_GB2312" w:cs="楷体_GB2312"/>
          <w:b/>
          <w:bCs/>
          <w:color w:val="auto"/>
          <w:lang w:val="en-US" w:eastAsia="zh-CN"/>
        </w:rPr>
        <w:t>（14）基本养老保险参保率。</w:t>
      </w:r>
      <w:r>
        <w:rPr>
          <w:rFonts w:hint="eastAsia" w:ascii="仿宋_GB2312" w:hAnsi="仿宋_GB2312" w:eastAsia="仿宋_GB2312" w:cs="仿宋_GB2312"/>
          <w:color w:val="auto"/>
          <w:lang w:val="en-US" w:eastAsia="zh-CN"/>
        </w:rPr>
        <w:t>规划目标为95%。2022年咸安区基本养老参保率达到92%，指标中期进度正常。预计到2025年可实现预期目标。</w:t>
      </w:r>
    </w:p>
    <w:p w14:paraId="0A46DE65">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楷体_GB2312" w:hAnsi="楷体_GB2312" w:eastAsia="楷体_GB2312" w:cs="楷体_GB2312"/>
          <w:b/>
          <w:bCs/>
          <w:color w:val="auto"/>
          <w:lang w:val="en-US" w:eastAsia="zh-CN"/>
        </w:rPr>
        <w:t>（15）每千人口拥有执业（助理）医师数（含市直数据）。</w:t>
      </w:r>
      <w:r>
        <w:rPr>
          <w:rFonts w:hint="eastAsia" w:ascii="仿宋_GB2312" w:hAnsi="仿宋_GB2312" w:eastAsia="仿宋_GB2312" w:cs="仿宋_GB2312"/>
          <w:color w:val="auto"/>
          <w:lang w:val="en-US" w:eastAsia="zh-CN"/>
        </w:rPr>
        <w:t>规划目标为3人，2023年上半年全区每千人口拥有执业（助理）医师数达到3.5人，已超前完成“十四五”规划目标。</w:t>
      </w:r>
    </w:p>
    <w:p w14:paraId="130E5F73">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lang w:val="en-US" w:eastAsia="zh-CN"/>
        </w:rPr>
      </w:pPr>
      <w:r>
        <w:rPr>
          <w:rFonts w:hint="eastAsia" w:ascii="楷体_GB2312" w:hAnsi="楷体_GB2312" w:eastAsia="楷体_GB2312" w:cs="楷体_GB2312"/>
          <w:b/>
          <w:bCs/>
          <w:color w:val="auto"/>
          <w:lang w:val="en-US" w:eastAsia="zh-CN"/>
        </w:rPr>
        <w:t>（16）每千人口拥有0-3岁婴幼儿托位数。</w:t>
      </w:r>
      <w:r>
        <w:rPr>
          <w:rFonts w:hint="eastAsia" w:ascii="仿宋_GB2312" w:hAnsi="仿宋_GB2312" w:eastAsia="仿宋_GB2312" w:cs="仿宋_GB2312"/>
          <w:color w:val="auto"/>
          <w:lang w:val="en-US" w:eastAsia="zh-CN"/>
        </w:rPr>
        <w:t>规划目标为4个，2023年上半年全区每千人口拥有0-3岁婴幼儿托</w:t>
      </w:r>
      <w:r>
        <w:rPr>
          <w:rFonts w:hint="eastAsia" w:ascii="仿宋_GB2312" w:hAnsi="仿宋_GB2312" w:eastAsia="仿宋_GB2312" w:cs="仿宋_GB2312"/>
          <w:color w:val="auto"/>
          <w:sz w:val="32"/>
          <w:szCs w:val="32"/>
          <w:lang w:val="en-US" w:eastAsia="zh-CN"/>
        </w:rPr>
        <w:t>位数</w:t>
      </w:r>
      <w:r>
        <w:rPr>
          <w:rFonts w:hint="eastAsia" w:ascii="仿宋_GB2312" w:hAnsi="仿宋_GB2312" w:eastAsia="仿宋_GB2312" w:cs="仿宋_GB2312"/>
          <w:color w:val="auto"/>
          <w:lang w:val="en-US" w:eastAsia="zh-CN"/>
        </w:rPr>
        <w:t>达到5.9人，已超前完成“十四五”规划目标。</w:t>
      </w:r>
    </w:p>
    <w:p w14:paraId="166A56D0">
      <w:pPr>
        <w:pStyle w:val="5"/>
        <w:keepNext/>
        <w:keepLines/>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黑体" w:hAnsi="黑体" w:eastAsia="黑体" w:cs="黑体"/>
          <w:b w:val="0"/>
          <w:bCs/>
          <w:color w:val="auto"/>
          <w:lang w:val="en-US" w:eastAsia="zh-CN"/>
        </w:rPr>
      </w:pPr>
      <w:bookmarkStart w:id="171" w:name="_Toc6064"/>
      <w:bookmarkStart w:id="172" w:name="_Toc11740"/>
      <w:bookmarkStart w:id="173" w:name="_Toc3250"/>
      <w:bookmarkStart w:id="174" w:name="_Toc7714"/>
      <w:bookmarkStart w:id="175" w:name="_Toc31130"/>
      <w:bookmarkStart w:id="176" w:name="_Toc8123"/>
      <w:bookmarkStart w:id="177" w:name="_Toc19725"/>
      <w:r>
        <w:rPr>
          <w:rFonts w:hint="eastAsia" w:ascii="黑体" w:hAnsi="黑体" w:eastAsia="黑体" w:cs="黑体"/>
          <w:b w:val="0"/>
          <w:bCs/>
          <w:color w:val="auto"/>
          <w:lang w:val="en-US" w:eastAsia="zh-CN"/>
        </w:rPr>
        <w:t>4. 生态环境</w:t>
      </w:r>
      <w:r>
        <w:rPr>
          <w:rFonts w:hint="eastAsia" w:ascii="黑体" w:hAnsi="黑体" w:eastAsia="黑体" w:cs="黑体"/>
          <w:b w:val="0"/>
          <w:bCs/>
          <w:color w:val="auto"/>
          <w:lang w:eastAsia="zh-CN"/>
        </w:rPr>
        <w:t>目标</w:t>
      </w:r>
      <w:bookmarkEnd w:id="171"/>
      <w:r>
        <w:rPr>
          <w:rFonts w:hint="eastAsia" w:ascii="黑体" w:hAnsi="黑体" w:eastAsia="黑体" w:cs="黑体"/>
          <w:b w:val="0"/>
          <w:bCs/>
          <w:color w:val="auto"/>
          <w:lang w:val="en-US" w:eastAsia="zh-CN"/>
        </w:rPr>
        <w:t>基本达标</w:t>
      </w:r>
      <w:bookmarkEnd w:id="172"/>
      <w:bookmarkEnd w:id="173"/>
      <w:bookmarkEnd w:id="174"/>
      <w:bookmarkEnd w:id="175"/>
      <w:bookmarkEnd w:id="176"/>
      <w:bookmarkEnd w:id="177"/>
    </w:p>
    <w:p w14:paraId="656091B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rPr>
      </w:pPr>
      <w:bookmarkStart w:id="178" w:name="_Hlk528101452"/>
      <w:r>
        <w:rPr>
          <w:rFonts w:hint="eastAsia" w:ascii="楷体_GB2312" w:hAnsi="楷体_GB2312" w:eastAsia="楷体_GB2312" w:cs="楷体_GB2312"/>
          <w:b/>
          <w:bCs/>
          <w:color w:val="auto"/>
        </w:rPr>
        <w:t>（1</w:t>
      </w:r>
      <w:r>
        <w:rPr>
          <w:rFonts w:hint="eastAsia" w:ascii="楷体_GB2312" w:hAnsi="楷体_GB2312" w:eastAsia="楷体_GB2312" w:cs="楷体_GB2312"/>
          <w:b/>
          <w:bCs/>
          <w:color w:val="auto"/>
          <w:lang w:val="en-US" w:eastAsia="zh-CN"/>
        </w:rPr>
        <w:t>7</w:t>
      </w:r>
      <w:r>
        <w:rPr>
          <w:rFonts w:hint="eastAsia" w:ascii="楷体_GB2312" w:hAnsi="楷体_GB2312" w:eastAsia="楷体_GB2312" w:cs="楷体_GB2312"/>
          <w:b/>
          <w:bCs/>
          <w:color w:val="auto"/>
        </w:rPr>
        <w:t>）</w:t>
      </w:r>
      <w:bookmarkStart w:id="179" w:name="_Hlk528098405"/>
      <w:r>
        <w:rPr>
          <w:rFonts w:hint="eastAsia" w:ascii="楷体_GB2312" w:hAnsi="楷体_GB2312" w:eastAsia="楷体_GB2312" w:cs="楷体_GB2312"/>
          <w:b/>
          <w:bCs/>
          <w:color w:val="auto"/>
          <w:lang w:val="en-US" w:eastAsia="zh-CN"/>
        </w:rPr>
        <w:t>单位GDP</w:t>
      </w:r>
      <w:r>
        <w:rPr>
          <w:rFonts w:hint="eastAsia" w:ascii="楷体_GB2312" w:hAnsi="楷体_GB2312" w:eastAsia="楷体_GB2312" w:cs="楷体_GB2312"/>
          <w:b/>
          <w:bCs/>
          <w:color w:val="auto"/>
        </w:rPr>
        <w:t>能源消耗降低</w:t>
      </w:r>
      <w:bookmarkEnd w:id="179"/>
      <w:r>
        <w:rPr>
          <w:rFonts w:hint="eastAsia" w:ascii="楷体_GB2312" w:hAnsi="楷体_GB2312" w:eastAsia="楷体_GB2312" w:cs="楷体_GB2312"/>
          <w:b/>
          <w:bCs/>
          <w:color w:val="auto"/>
        </w:rPr>
        <w:t>。</w:t>
      </w:r>
      <w:r>
        <w:rPr>
          <w:rFonts w:hint="eastAsia" w:ascii="仿宋_GB2312" w:hAnsi="仿宋_GB2312" w:eastAsia="仿宋_GB2312" w:cs="仿宋_GB2312"/>
          <w:color w:val="auto"/>
          <w:sz w:val="32"/>
          <w:szCs w:val="32"/>
        </w:rPr>
        <w:t>规划目标为</w:t>
      </w:r>
      <w:r>
        <w:rPr>
          <w:rFonts w:hint="eastAsia" w:ascii="仿宋_GB2312" w:hAnsi="仿宋_GB2312" w:eastAsia="仿宋_GB2312" w:cs="仿宋_GB2312"/>
          <w:color w:val="auto"/>
          <w:sz w:val="32"/>
          <w:szCs w:val="32"/>
          <w:lang w:val="en-US" w:eastAsia="zh-CN"/>
        </w:rPr>
        <w:t>完成省定目标、“十四五”期间累计</w:t>
      </w:r>
      <w:r>
        <w:rPr>
          <w:rFonts w:hint="eastAsia" w:ascii="仿宋_GB2312" w:hAnsi="仿宋_GB2312" w:eastAsia="仿宋_GB2312" w:cs="仿宋_GB2312"/>
          <w:color w:val="auto"/>
          <w:sz w:val="32"/>
          <w:szCs w:val="32"/>
        </w:rPr>
        <w:t>下降</w:t>
      </w: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2021</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咸安区</w:t>
      </w:r>
      <w:r>
        <w:rPr>
          <w:rFonts w:hint="eastAsia" w:ascii="仿宋_GB2312" w:hAnsi="仿宋_GB2312" w:eastAsia="仿宋_GB2312" w:cs="仿宋_GB2312"/>
          <w:color w:val="auto"/>
          <w:sz w:val="32"/>
          <w:szCs w:val="32"/>
        </w:rPr>
        <w:t>单位</w:t>
      </w:r>
      <w:r>
        <w:rPr>
          <w:rFonts w:hint="eastAsia" w:ascii="仿宋_GB2312" w:hAnsi="仿宋_GB2312" w:eastAsia="仿宋_GB2312" w:cs="仿宋_GB2312"/>
          <w:color w:val="auto"/>
          <w:sz w:val="32"/>
          <w:szCs w:val="32"/>
          <w:lang w:val="en-US" w:eastAsia="zh-CN"/>
        </w:rPr>
        <w:t>GDP</w:t>
      </w:r>
      <w:r>
        <w:rPr>
          <w:rFonts w:hint="eastAsia" w:ascii="仿宋_GB2312" w:hAnsi="仿宋_GB2312" w:eastAsia="仿宋_GB2312" w:cs="仿宋_GB2312"/>
          <w:color w:val="auto"/>
          <w:sz w:val="32"/>
          <w:szCs w:val="32"/>
        </w:rPr>
        <w:t>能源消耗</w:t>
      </w:r>
      <w:r>
        <w:rPr>
          <w:rFonts w:hint="eastAsia" w:ascii="仿宋_GB2312" w:hAnsi="仿宋_GB2312" w:eastAsia="仿宋_GB2312" w:cs="仿宋_GB2312"/>
          <w:color w:val="auto"/>
          <w:sz w:val="32"/>
          <w:szCs w:val="32"/>
          <w:lang w:val="en-US" w:eastAsia="zh-CN"/>
        </w:rPr>
        <w:t>降低3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完成当年省定目标；2022年因将高新区能耗数据纳入咸安区考核指标，因此</w:t>
      </w:r>
      <w:r>
        <w:rPr>
          <w:rFonts w:hint="eastAsia" w:ascii="仿宋_GB2312" w:hAnsi="仿宋_GB2312" w:eastAsia="仿宋_GB2312" w:cs="仿宋_GB2312"/>
          <w:color w:val="auto"/>
          <w:lang w:val="en-US" w:eastAsia="zh-CN"/>
        </w:rPr>
        <w:t>2022</w:t>
      </w:r>
      <w:r>
        <w:rPr>
          <w:rFonts w:hint="eastAsia" w:ascii="仿宋_GB2312" w:hAnsi="仿宋_GB2312" w:eastAsia="仿宋_GB2312" w:cs="仿宋_GB2312"/>
          <w:color w:val="auto"/>
          <w:sz w:val="32"/>
          <w:szCs w:val="32"/>
          <w:lang w:val="en-US" w:eastAsia="zh-CN"/>
        </w:rPr>
        <w:t>年全区单位GDP能耗有所增加，增幅为0.22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未完成省定目标。</w:t>
      </w:r>
      <w:r>
        <w:rPr>
          <w:rFonts w:hint="eastAsia" w:ascii="仿宋_GB2312" w:hAnsi="仿宋_GB2312" w:eastAsia="仿宋_GB2312" w:cs="仿宋_GB2312"/>
          <w:color w:val="auto"/>
          <w:sz w:val="32"/>
          <w:szCs w:val="32"/>
        </w:rPr>
        <w:t>前两年累计未</w:t>
      </w:r>
      <w:r>
        <w:rPr>
          <w:rFonts w:hint="eastAsia" w:ascii="仿宋_GB2312" w:hAnsi="仿宋_GB2312" w:eastAsia="仿宋_GB2312" w:cs="仿宋_GB2312"/>
          <w:color w:val="auto"/>
          <w:sz w:val="32"/>
          <w:szCs w:val="32"/>
          <w:lang w:val="en-US" w:eastAsia="zh-CN"/>
        </w:rPr>
        <w:t>达到</w:t>
      </w:r>
      <w:r>
        <w:rPr>
          <w:rFonts w:hint="eastAsia" w:ascii="仿宋_GB2312" w:hAnsi="仿宋_GB2312" w:eastAsia="仿宋_GB2312" w:cs="仿宋_GB2312"/>
          <w:color w:val="auto"/>
          <w:sz w:val="32"/>
          <w:szCs w:val="32"/>
        </w:rPr>
        <w:t>中期</w:t>
      </w:r>
      <w:r>
        <w:rPr>
          <w:rFonts w:hint="eastAsia" w:ascii="仿宋_GB2312" w:hAnsi="仿宋_GB2312" w:eastAsia="仿宋_GB2312" w:cs="仿宋_GB2312"/>
          <w:color w:val="auto"/>
          <w:sz w:val="32"/>
          <w:szCs w:val="32"/>
          <w:lang w:val="en-US" w:eastAsia="zh-CN"/>
        </w:rPr>
        <w:t>进度</w:t>
      </w:r>
      <w:r>
        <w:rPr>
          <w:rFonts w:hint="eastAsia" w:ascii="仿宋_GB2312" w:hAnsi="仿宋_GB2312" w:eastAsia="仿宋_GB2312" w:cs="仿宋_GB2312"/>
          <w:color w:val="auto"/>
          <w:sz w:val="32"/>
          <w:szCs w:val="32"/>
        </w:rPr>
        <w:t>。随着产业结构调整、</w:t>
      </w:r>
      <w:r>
        <w:rPr>
          <w:rFonts w:hint="eastAsia" w:ascii="仿宋_GB2312" w:hAnsi="仿宋_GB2312" w:eastAsia="仿宋_GB2312" w:cs="仿宋_GB2312"/>
          <w:color w:val="auto"/>
          <w:sz w:val="32"/>
          <w:szCs w:val="32"/>
          <w:lang w:val="en-US" w:eastAsia="zh-CN"/>
        </w:rPr>
        <w:t>绿色发展水平提升</w:t>
      </w:r>
      <w:r>
        <w:rPr>
          <w:rFonts w:hint="eastAsia" w:ascii="仿宋_GB2312" w:hAnsi="仿宋_GB2312" w:eastAsia="仿宋_GB2312" w:cs="仿宋_GB2312"/>
          <w:color w:val="auto"/>
          <w:sz w:val="32"/>
          <w:szCs w:val="32"/>
        </w:rPr>
        <w:t>，预计2025年可完成</w:t>
      </w:r>
      <w:r>
        <w:rPr>
          <w:rFonts w:hint="eastAsia" w:ascii="仿宋_GB2312" w:hAnsi="仿宋_GB2312" w:eastAsia="仿宋_GB2312" w:cs="仿宋_GB2312"/>
          <w:color w:val="auto"/>
          <w:sz w:val="32"/>
          <w:szCs w:val="32"/>
          <w:lang w:val="en-US" w:eastAsia="zh-CN"/>
        </w:rPr>
        <w:t>该</w:t>
      </w:r>
      <w:r>
        <w:rPr>
          <w:rFonts w:hint="eastAsia" w:ascii="仿宋_GB2312" w:hAnsi="仿宋_GB2312" w:eastAsia="仿宋_GB2312" w:cs="仿宋_GB2312"/>
          <w:color w:val="auto"/>
          <w:sz w:val="32"/>
          <w:szCs w:val="32"/>
        </w:rPr>
        <w:t>约束性目标。</w:t>
      </w:r>
    </w:p>
    <w:p w14:paraId="400F494C">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rPr>
        <w:t>（1</w:t>
      </w:r>
      <w:r>
        <w:rPr>
          <w:rFonts w:hint="eastAsia" w:ascii="楷体_GB2312" w:hAnsi="楷体_GB2312" w:eastAsia="楷体_GB2312" w:cs="楷体_GB2312"/>
          <w:b/>
          <w:bCs/>
          <w:color w:val="auto"/>
          <w:lang w:val="en-US" w:eastAsia="zh-CN"/>
        </w:rPr>
        <w:t>8</w:t>
      </w:r>
      <w:r>
        <w:rPr>
          <w:rFonts w:hint="eastAsia" w:ascii="楷体_GB2312" w:hAnsi="楷体_GB2312" w:eastAsia="楷体_GB2312" w:cs="楷体_GB2312"/>
          <w:b/>
          <w:bCs/>
          <w:color w:val="auto"/>
        </w:rPr>
        <w:t>）</w:t>
      </w:r>
      <w:bookmarkStart w:id="180" w:name="_Hlk528098360"/>
      <w:r>
        <w:rPr>
          <w:rFonts w:hint="eastAsia" w:ascii="楷体_GB2312" w:hAnsi="楷体_GB2312" w:eastAsia="楷体_GB2312" w:cs="楷体_GB2312"/>
          <w:b/>
          <w:bCs/>
          <w:color w:val="auto"/>
        </w:rPr>
        <w:t>单位</w:t>
      </w:r>
      <w:r>
        <w:rPr>
          <w:rFonts w:hint="eastAsia" w:ascii="楷体_GB2312" w:hAnsi="楷体_GB2312" w:eastAsia="楷体_GB2312" w:cs="楷体_GB2312"/>
          <w:b/>
          <w:bCs/>
          <w:color w:val="auto"/>
          <w:lang w:val="en-US" w:eastAsia="zh-CN"/>
        </w:rPr>
        <w:t>GDP</w:t>
      </w:r>
      <w:r>
        <w:rPr>
          <w:rFonts w:hint="eastAsia" w:ascii="楷体_GB2312" w:hAnsi="楷体_GB2312" w:eastAsia="楷体_GB2312" w:cs="楷体_GB2312"/>
          <w:b/>
          <w:bCs/>
          <w:color w:val="auto"/>
        </w:rPr>
        <w:t>二氧化碳排放降低</w:t>
      </w:r>
      <w:bookmarkEnd w:id="180"/>
      <w:r>
        <w:rPr>
          <w:rFonts w:hint="eastAsia" w:ascii="楷体_GB2312" w:hAnsi="楷体_GB2312" w:eastAsia="楷体_GB2312" w:cs="楷体_GB2312"/>
          <w:b/>
          <w:bCs/>
          <w:color w:val="auto"/>
        </w:rPr>
        <w:t>。</w:t>
      </w:r>
      <w:r>
        <w:rPr>
          <w:rFonts w:hint="eastAsia" w:ascii="仿宋_GB2312" w:hAnsi="仿宋_GB2312" w:eastAsia="仿宋_GB2312" w:cs="仿宋_GB2312"/>
          <w:color w:val="auto"/>
          <w:sz w:val="32"/>
          <w:szCs w:val="32"/>
        </w:rPr>
        <w:t>规划目标为</w:t>
      </w:r>
      <w:r>
        <w:rPr>
          <w:rFonts w:hint="eastAsia" w:ascii="仿宋_GB2312" w:hAnsi="仿宋_GB2312" w:eastAsia="仿宋_GB2312" w:cs="仿宋_GB2312"/>
          <w:color w:val="auto"/>
          <w:sz w:val="32"/>
          <w:szCs w:val="32"/>
          <w:lang w:val="en-US" w:eastAsia="zh-CN"/>
        </w:rPr>
        <w:t>完成省定目标、“十四五”期间累计</w:t>
      </w:r>
      <w:r>
        <w:rPr>
          <w:rFonts w:hint="eastAsia" w:ascii="仿宋_GB2312" w:hAnsi="仿宋_GB2312" w:eastAsia="仿宋_GB2312" w:cs="仿宋_GB2312"/>
          <w:color w:val="auto"/>
          <w:sz w:val="32"/>
          <w:szCs w:val="32"/>
        </w:rPr>
        <w:t>下降</w:t>
      </w: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年、20</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咸安区</w:t>
      </w:r>
      <w:r>
        <w:rPr>
          <w:rFonts w:hint="eastAsia" w:ascii="仿宋_GB2312" w:hAnsi="仿宋_GB2312" w:eastAsia="仿宋_GB2312" w:cs="仿宋_GB2312"/>
          <w:color w:val="auto"/>
          <w:sz w:val="32"/>
          <w:szCs w:val="32"/>
        </w:rPr>
        <w:t>单位</w:t>
      </w:r>
      <w:r>
        <w:rPr>
          <w:rFonts w:hint="eastAsia" w:ascii="仿宋_GB2312" w:hAnsi="仿宋_GB2312" w:eastAsia="仿宋_GB2312" w:cs="仿宋_GB2312"/>
          <w:color w:val="auto"/>
          <w:sz w:val="32"/>
          <w:szCs w:val="32"/>
          <w:lang w:val="en-US" w:eastAsia="zh-CN"/>
        </w:rPr>
        <w:t>GDP二氧化碳排放增速</w:t>
      </w:r>
      <w:r>
        <w:rPr>
          <w:rFonts w:hint="eastAsia" w:ascii="仿宋_GB2312" w:hAnsi="仿宋_GB2312" w:eastAsia="仿宋_GB2312" w:cs="仿宋_GB2312"/>
          <w:color w:val="auto"/>
          <w:sz w:val="32"/>
          <w:szCs w:val="32"/>
        </w:rPr>
        <w:t>分别</w:t>
      </w:r>
      <w:r>
        <w:rPr>
          <w:rFonts w:hint="eastAsia" w:ascii="仿宋_GB2312" w:hAnsi="仿宋_GB2312" w:eastAsia="仿宋_GB2312" w:cs="仿宋_GB2312"/>
          <w:color w:val="auto"/>
          <w:sz w:val="32"/>
          <w:szCs w:val="32"/>
          <w:lang w:val="en-US" w:eastAsia="zh-CN"/>
        </w:rPr>
        <w:t>-27.7</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-4.39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前两年均完成省定目标，累计</w:t>
      </w:r>
      <w:r>
        <w:rPr>
          <w:rFonts w:hint="eastAsia" w:ascii="仿宋_GB2312" w:hAnsi="仿宋_GB2312" w:eastAsia="仿宋_GB2312" w:cs="仿宋_GB2312"/>
          <w:color w:val="auto"/>
          <w:sz w:val="32"/>
          <w:szCs w:val="32"/>
        </w:rPr>
        <w:t>中期</w:t>
      </w:r>
      <w:r>
        <w:rPr>
          <w:rFonts w:hint="eastAsia" w:ascii="仿宋_GB2312" w:hAnsi="仿宋_GB2312" w:eastAsia="仿宋_GB2312" w:cs="仿宋_GB2312"/>
          <w:color w:val="auto"/>
          <w:sz w:val="32"/>
          <w:szCs w:val="32"/>
          <w:lang w:val="en-US" w:eastAsia="zh-CN"/>
        </w:rPr>
        <w:t>实施进度正常</w:t>
      </w:r>
      <w:r>
        <w:rPr>
          <w:rFonts w:hint="eastAsia" w:ascii="仿宋_GB2312" w:hAnsi="仿宋_GB2312" w:eastAsia="仿宋_GB2312" w:cs="仿宋_GB2312"/>
          <w:color w:val="auto"/>
          <w:sz w:val="32"/>
          <w:szCs w:val="32"/>
        </w:rPr>
        <w:t>。</w:t>
      </w:r>
    </w:p>
    <w:p w14:paraId="5CB5F2AE">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color w:val="auto"/>
          <w:sz w:val="32"/>
          <w:szCs w:val="32"/>
          <w:lang w:val="en-US" w:eastAsia="zh-CN"/>
        </w:rPr>
      </w:pP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lang w:val="en-US" w:eastAsia="zh-CN"/>
        </w:rPr>
        <w:t>19</w:t>
      </w: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rPr>
        <w:t>地表水达到或好于Ⅲ类水体比例</w:t>
      </w:r>
      <w:r>
        <w:rPr>
          <w:rFonts w:hint="eastAsia" w:ascii="楷体_GB2312" w:hAnsi="楷体_GB2312" w:eastAsia="楷体_GB2312" w:cs="楷体_GB2312"/>
          <w:b/>
          <w:bCs/>
          <w:color w:val="auto"/>
          <w:lang w:eastAsia="zh-CN"/>
        </w:rPr>
        <w:t>。</w:t>
      </w:r>
      <w:r>
        <w:rPr>
          <w:rFonts w:hint="eastAsia" w:ascii="仿宋_GB2312" w:hAnsi="仿宋_GB2312" w:eastAsia="仿宋_GB2312" w:cs="仿宋_GB2312"/>
          <w:b w:val="0"/>
          <w:bCs w:val="0"/>
          <w:color w:val="auto"/>
          <w:sz w:val="32"/>
          <w:szCs w:val="32"/>
          <w:lang w:val="en-US" w:eastAsia="zh-CN"/>
        </w:rPr>
        <w:t>规划目标为完成省定目标。</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年、20</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2023年上半年</w:t>
      </w:r>
      <w:r>
        <w:rPr>
          <w:rFonts w:hint="eastAsia" w:ascii="仿宋_GB2312" w:hAnsi="仿宋_GB2312" w:eastAsia="仿宋_GB2312" w:cs="仿宋_GB2312"/>
          <w:color w:val="auto"/>
          <w:sz w:val="32"/>
          <w:szCs w:val="32"/>
          <w:lang w:eastAsia="zh-CN"/>
        </w:rPr>
        <w:t>咸安区</w:t>
      </w:r>
      <w:r>
        <w:rPr>
          <w:rFonts w:hint="eastAsia" w:ascii="仿宋_GB2312" w:hAnsi="仿宋_GB2312" w:eastAsia="仿宋_GB2312" w:cs="仿宋_GB2312"/>
          <w:color w:val="auto"/>
          <w:sz w:val="32"/>
          <w:szCs w:val="32"/>
          <w:lang w:val="en-US" w:eastAsia="zh-CN"/>
        </w:rPr>
        <w:t>地表水</w:t>
      </w:r>
      <w:r>
        <w:rPr>
          <w:rFonts w:hint="eastAsia" w:ascii="仿宋_GB2312" w:hAnsi="仿宋_GB2312" w:eastAsia="仿宋_GB2312" w:cs="仿宋_GB2312"/>
          <w:color w:val="auto"/>
          <w:sz w:val="32"/>
          <w:szCs w:val="32"/>
        </w:rPr>
        <w:t>达到或好于Ⅲ类水体比例</w:t>
      </w:r>
      <w:r>
        <w:rPr>
          <w:rFonts w:hint="eastAsia" w:ascii="仿宋_GB2312" w:hAnsi="仿宋_GB2312" w:eastAsia="仿宋_GB2312" w:cs="仿宋_GB2312"/>
          <w:color w:val="auto"/>
          <w:sz w:val="32"/>
          <w:szCs w:val="32"/>
          <w:lang w:val="en-US" w:eastAsia="zh-CN"/>
        </w:rPr>
        <w:t>分别为100%、92.8%、100%，2021年完成省定目标，2022年未完成省定目标，2023年上半年完成省定目标。</w:t>
      </w:r>
    </w:p>
    <w:p w14:paraId="01F9D8DD">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color w:val="auto"/>
          <w:sz w:val="32"/>
          <w:szCs w:val="32"/>
          <w:lang w:val="en-US" w:eastAsia="zh-CN"/>
        </w:rPr>
      </w:pP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lang w:val="en-US" w:eastAsia="zh-CN"/>
        </w:rPr>
        <w:t>20</w:t>
      </w: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rPr>
        <w:t>城市空气质量优良天数比例</w:t>
      </w:r>
      <w:r>
        <w:rPr>
          <w:rFonts w:hint="eastAsia" w:ascii="楷体_GB2312" w:hAnsi="楷体_GB2312" w:eastAsia="楷体_GB2312" w:cs="楷体_GB2312"/>
          <w:b/>
          <w:bCs/>
          <w:color w:val="auto"/>
          <w:lang w:eastAsia="zh-CN"/>
        </w:rPr>
        <w:t>。</w:t>
      </w:r>
      <w:r>
        <w:rPr>
          <w:rFonts w:hint="eastAsia" w:ascii="仿宋_GB2312" w:hAnsi="仿宋_GB2312" w:eastAsia="仿宋_GB2312" w:cs="仿宋_GB2312"/>
          <w:b w:val="0"/>
          <w:bCs w:val="0"/>
          <w:color w:val="auto"/>
          <w:sz w:val="32"/>
          <w:szCs w:val="32"/>
          <w:lang w:val="en-US" w:eastAsia="zh-CN"/>
        </w:rPr>
        <w:t>规划目标为完成省定目标。</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年、20</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2023年上半年</w:t>
      </w:r>
      <w:r>
        <w:rPr>
          <w:rFonts w:hint="eastAsia" w:ascii="仿宋_GB2312" w:hAnsi="仿宋_GB2312" w:eastAsia="仿宋_GB2312" w:cs="仿宋_GB2312"/>
          <w:color w:val="auto"/>
          <w:sz w:val="32"/>
          <w:szCs w:val="32"/>
          <w:lang w:eastAsia="zh-CN"/>
        </w:rPr>
        <w:t>咸安区</w:t>
      </w:r>
      <w:r>
        <w:rPr>
          <w:rFonts w:hint="eastAsia" w:ascii="仿宋_GB2312" w:hAnsi="仿宋_GB2312" w:eastAsia="仿宋_GB2312" w:cs="仿宋_GB2312"/>
          <w:color w:val="auto"/>
          <w:sz w:val="32"/>
          <w:szCs w:val="32"/>
          <w:lang w:val="en-US" w:eastAsia="zh-CN"/>
        </w:rPr>
        <w:t>城市空气质量优良天数比例分别为93.9%、85.5%、85.4%，2021年完成省定目标，2022年未完成省定目标，2023年上半年省定目标未下达。</w:t>
      </w:r>
    </w:p>
    <w:p w14:paraId="54E5E347">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lang w:val="en-US" w:eastAsia="zh-CN"/>
        </w:rPr>
        <w:t>21</w:t>
      </w: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rPr>
        <w:t>万元GDP用水量降低</w:t>
      </w:r>
      <w:r>
        <w:rPr>
          <w:rFonts w:hint="eastAsia" w:ascii="楷体_GB2312" w:hAnsi="楷体_GB2312" w:eastAsia="楷体_GB2312" w:cs="楷体_GB2312"/>
          <w:b/>
          <w:bCs/>
          <w:color w:val="auto"/>
          <w:lang w:eastAsia="zh-CN"/>
        </w:rPr>
        <w:t>。</w:t>
      </w:r>
      <w:r>
        <w:rPr>
          <w:rFonts w:hint="eastAsia" w:ascii="仿宋_GB2312" w:hAnsi="仿宋_GB2312" w:eastAsia="仿宋_GB2312" w:cs="仿宋_GB2312"/>
          <w:color w:val="auto"/>
          <w:sz w:val="32"/>
          <w:szCs w:val="32"/>
        </w:rPr>
        <w:t>规划目标为</w:t>
      </w:r>
      <w:r>
        <w:rPr>
          <w:rFonts w:hint="eastAsia" w:ascii="仿宋_GB2312" w:hAnsi="仿宋_GB2312" w:eastAsia="仿宋_GB2312" w:cs="仿宋_GB2312"/>
          <w:color w:val="auto"/>
          <w:sz w:val="32"/>
          <w:szCs w:val="32"/>
          <w:lang w:val="en-US" w:eastAsia="zh-CN"/>
        </w:rPr>
        <w:t>完成省定目标、“十四五”期间累计</w:t>
      </w:r>
      <w:r>
        <w:rPr>
          <w:rFonts w:hint="eastAsia" w:ascii="仿宋_GB2312" w:hAnsi="仿宋_GB2312" w:eastAsia="仿宋_GB2312" w:cs="仿宋_GB2312"/>
          <w:color w:val="auto"/>
          <w:sz w:val="32"/>
          <w:szCs w:val="32"/>
        </w:rPr>
        <w:t>下降</w:t>
      </w:r>
      <w:r>
        <w:rPr>
          <w:rFonts w:hint="eastAsia" w:ascii="仿宋_GB2312" w:hAnsi="仿宋_GB2312" w:eastAsia="仿宋_GB2312" w:cs="仿宋_GB2312"/>
          <w:color w:val="auto"/>
          <w:sz w:val="32"/>
          <w:szCs w:val="32"/>
          <w:lang w:val="en-US" w:eastAsia="zh-CN"/>
        </w:rPr>
        <w:t>16</w:t>
      </w:r>
      <w:r>
        <w:rPr>
          <w:rFonts w:hint="eastAsia" w:ascii="仿宋_GB2312" w:hAnsi="仿宋_GB2312" w:eastAsia="仿宋_GB2312" w:cs="仿宋_GB2312"/>
          <w:color w:val="auto"/>
          <w:sz w:val="32"/>
          <w:szCs w:val="32"/>
        </w:rPr>
        <w:t>%。咸安区2020年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2022年</w:t>
      </w:r>
      <w:r>
        <w:rPr>
          <w:rFonts w:hint="eastAsia" w:ascii="仿宋_GB2312" w:hAnsi="仿宋_GB2312" w:eastAsia="仿宋_GB2312" w:cs="仿宋_GB2312"/>
          <w:color w:val="auto"/>
          <w:sz w:val="32"/>
          <w:szCs w:val="32"/>
        </w:rPr>
        <w:t>万元GDP用水量</w:t>
      </w:r>
      <w:r>
        <w:rPr>
          <w:rFonts w:hint="eastAsia" w:ascii="仿宋_GB2312" w:hAnsi="仿宋_GB2312" w:eastAsia="仿宋_GB2312" w:cs="仿宋_GB2312"/>
          <w:color w:val="auto"/>
          <w:sz w:val="32"/>
          <w:szCs w:val="32"/>
          <w:lang w:val="en-US" w:eastAsia="zh-CN"/>
        </w:rPr>
        <w:t>分别为</w:t>
      </w:r>
      <w:r>
        <w:rPr>
          <w:rFonts w:hint="eastAsia" w:ascii="仿宋_GB2312" w:hAnsi="仿宋_GB2312" w:eastAsia="仿宋_GB2312" w:cs="仿宋_GB2312"/>
          <w:color w:val="auto"/>
          <w:sz w:val="32"/>
          <w:szCs w:val="32"/>
        </w:rPr>
        <w:t>77 m</w:t>
      </w:r>
      <w:r>
        <w:rPr>
          <w:rFonts w:hint="eastAsia" w:ascii="仿宋_GB2312" w:hAnsi="仿宋_GB2312" w:eastAsia="仿宋_GB2312" w:cs="仿宋_GB2312"/>
          <w:color w:val="auto"/>
          <w:sz w:val="32"/>
          <w:szCs w:val="32"/>
          <w:vertAlign w:val="superscript"/>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63 m</w:t>
      </w:r>
      <w:r>
        <w:rPr>
          <w:rFonts w:hint="eastAsia" w:ascii="仿宋_GB2312" w:hAnsi="仿宋_GB2312" w:eastAsia="仿宋_GB2312" w:cs="仿宋_GB2312"/>
          <w:strike w:val="0"/>
          <w:dstrike w:val="0"/>
          <w:color w:val="auto"/>
          <w:sz w:val="32"/>
          <w:szCs w:val="32"/>
          <w:vertAlign w:val="superscript"/>
          <w:lang w:val="en-US" w:eastAsia="zh-CN"/>
        </w:rPr>
        <w:t>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累计</w:t>
      </w:r>
      <w:r>
        <w:rPr>
          <w:rFonts w:hint="eastAsia" w:ascii="仿宋_GB2312" w:hAnsi="仿宋_GB2312" w:eastAsia="仿宋_GB2312" w:cs="仿宋_GB2312"/>
          <w:color w:val="auto"/>
          <w:sz w:val="32"/>
          <w:szCs w:val="32"/>
        </w:rPr>
        <w:t>下降18.1%，全区万元 GDP 用水量降低控制在</w:t>
      </w:r>
      <w:r>
        <w:rPr>
          <w:rFonts w:hint="eastAsia" w:ascii="仿宋_GB2312" w:hAnsi="仿宋_GB2312" w:eastAsia="仿宋_GB2312" w:cs="仿宋_GB2312"/>
          <w:color w:val="auto"/>
          <w:sz w:val="32"/>
          <w:szCs w:val="32"/>
          <w:lang w:val="en-US" w:eastAsia="zh-CN"/>
        </w:rPr>
        <w:t>上级</w:t>
      </w:r>
      <w:r>
        <w:rPr>
          <w:rFonts w:hint="eastAsia" w:ascii="仿宋_GB2312" w:hAnsi="仿宋_GB2312" w:eastAsia="仿宋_GB2312" w:cs="仿宋_GB2312"/>
          <w:color w:val="auto"/>
          <w:sz w:val="32"/>
          <w:szCs w:val="32"/>
        </w:rPr>
        <w:t>下达指标内</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累计</w:t>
      </w:r>
      <w:r>
        <w:rPr>
          <w:rFonts w:hint="eastAsia" w:ascii="仿宋_GB2312" w:hAnsi="仿宋_GB2312" w:eastAsia="仿宋_GB2312" w:cs="仿宋_GB2312"/>
          <w:color w:val="auto"/>
          <w:sz w:val="32"/>
          <w:szCs w:val="32"/>
        </w:rPr>
        <w:t>中期</w:t>
      </w:r>
      <w:r>
        <w:rPr>
          <w:rFonts w:hint="eastAsia" w:ascii="仿宋_GB2312" w:hAnsi="仿宋_GB2312" w:eastAsia="仿宋_GB2312" w:cs="仿宋_GB2312"/>
          <w:color w:val="auto"/>
          <w:lang w:val="en-US" w:eastAsia="zh-CN"/>
        </w:rPr>
        <w:t>实施</w:t>
      </w:r>
      <w:r>
        <w:rPr>
          <w:rFonts w:hint="eastAsia" w:ascii="仿宋_GB2312" w:hAnsi="仿宋_GB2312" w:eastAsia="仿宋_GB2312" w:cs="仿宋_GB2312"/>
          <w:color w:val="auto"/>
          <w:sz w:val="32"/>
          <w:szCs w:val="32"/>
          <w:lang w:val="en-US" w:eastAsia="zh-CN"/>
        </w:rPr>
        <w:t>进度正常。</w:t>
      </w:r>
    </w:p>
    <w:p w14:paraId="639DDB85">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color w:val="auto"/>
          <w:sz w:val="32"/>
          <w:szCs w:val="32"/>
          <w:lang w:val="en-US" w:eastAsia="zh-CN"/>
        </w:rPr>
      </w:pP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lang w:val="en-US" w:eastAsia="zh-CN"/>
        </w:rPr>
        <w:t>22</w:t>
      </w: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rPr>
        <w:t>万元GDP地耗降低</w:t>
      </w:r>
      <w:r>
        <w:rPr>
          <w:rFonts w:hint="eastAsia" w:ascii="楷体_GB2312" w:hAnsi="楷体_GB2312" w:eastAsia="楷体_GB2312" w:cs="楷体_GB2312"/>
          <w:b/>
          <w:bCs/>
          <w:color w:val="auto"/>
          <w:lang w:eastAsia="zh-CN"/>
        </w:rPr>
        <w:t>。</w:t>
      </w:r>
      <w:r>
        <w:rPr>
          <w:rFonts w:hint="eastAsia" w:ascii="仿宋_GB2312" w:hAnsi="仿宋_GB2312" w:eastAsia="仿宋_GB2312" w:cs="仿宋_GB2312"/>
          <w:color w:val="auto"/>
          <w:sz w:val="32"/>
          <w:szCs w:val="32"/>
        </w:rPr>
        <w:t>规划目标为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lang w:val="en-US" w:eastAsia="zh-CN"/>
        </w:rPr>
        <w:t>十四五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期间累计</w:t>
      </w:r>
      <w:r>
        <w:rPr>
          <w:rFonts w:hint="eastAsia" w:ascii="仿宋_GB2312" w:hAnsi="仿宋_GB2312" w:eastAsia="仿宋_GB2312" w:cs="仿宋_GB2312"/>
          <w:color w:val="auto"/>
          <w:sz w:val="32"/>
          <w:szCs w:val="32"/>
        </w:rPr>
        <w:t>下降</w:t>
      </w:r>
      <w:r>
        <w:rPr>
          <w:rFonts w:hint="eastAsia" w:ascii="仿宋_GB2312" w:hAnsi="仿宋_GB2312" w:eastAsia="仿宋_GB2312" w:cs="仿宋_GB2312"/>
          <w:b w:val="0"/>
          <w:bCs w:val="0"/>
          <w:color w:val="auto"/>
          <w:sz w:val="32"/>
          <w:szCs w:val="32"/>
          <w:lang w:eastAsia="zh-CN"/>
        </w:rPr>
        <w:t>26.6</w:t>
      </w:r>
      <w:r>
        <w:rPr>
          <w:rFonts w:hint="eastAsia" w:ascii="仿宋_GB2312" w:hAnsi="仿宋_GB2312" w:eastAsia="仿宋_GB2312" w:cs="仿宋_GB2312"/>
          <w:b w:val="0"/>
          <w:bCs w:val="0"/>
          <w:color w:val="auto"/>
          <w:sz w:val="32"/>
          <w:szCs w:val="32"/>
          <w:lang w:val="en-US" w:eastAsia="zh-CN"/>
        </w:rPr>
        <w:t>%，咸安区2020年、2021年、2022年亩均GDP分别为13.69万元/亩、16.44万元/亩、17.45万元/亩，折算成万元GDP地耗分别为48.71平米/万元、40.55平米/万元、38.20平米/万元，2022年万元GDP地耗相比2021年降低5.8%，相比2020年累计降低21.57%，指标</w:t>
      </w:r>
      <w:r>
        <w:rPr>
          <w:rFonts w:hint="eastAsia" w:ascii="仿宋_GB2312" w:hAnsi="仿宋_GB2312" w:eastAsia="仿宋_GB2312" w:cs="仿宋_GB2312"/>
          <w:color w:val="auto"/>
          <w:sz w:val="32"/>
          <w:szCs w:val="32"/>
          <w:lang w:val="en-US" w:eastAsia="zh-CN"/>
        </w:rPr>
        <w:t>中期实施进度正常</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rPr>
        <w:t>预计2025年</w:t>
      </w:r>
      <w:r>
        <w:rPr>
          <w:rFonts w:hint="eastAsia" w:ascii="仿宋_GB2312" w:hAnsi="仿宋_GB2312" w:eastAsia="仿宋_GB2312" w:cs="仿宋_GB2312"/>
          <w:color w:val="auto"/>
          <w:sz w:val="32"/>
          <w:szCs w:val="32"/>
          <w:lang w:val="en-US" w:eastAsia="zh-CN"/>
        </w:rPr>
        <w:t>可实现约束目标。</w:t>
      </w:r>
    </w:p>
    <w:p w14:paraId="36C9E264">
      <w:pPr>
        <w:pageBreakBefore w:val="0"/>
        <w:widowControl w:val="0"/>
        <w:kinsoku/>
        <w:wordWrap/>
        <w:overflowPunct/>
        <w:topLinePunct w:val="0"/>
        <w:autoSpaceDE/>
        <w:autoSpaceDN/>
        <w:bidi w:val="0"/>
        <w:adjustRightInd w:val="0"/>
        <w:snapToGrid w:val="0"/>
        <w:spacing w:line="560" w:lineRule="exact"/>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lang w:val="en-US" w:eastAsia="zh-CN"/>
        </w:rPr>
        <w:t>23</w:t>
      </w: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rPr>
        <w:t>森林覆盖率</w:t>
      </w:r>
      <w:r>
        <w:rPr>
          <w:rFonts w:hint="eastAsia" w:ascii="楷体_GB2312" w:hAnsi="楷体_GB2312" w:eastAsia="楷体_GB2312" w:cs="楷体_GB2312"/>
          <w:b/>
          <w:bCs/>
          <w:color w:val="auto"/>
          <w:lang w:eastAsia="zh-CN"/>
        </w:rPr>
        <w:t>。</w:t>
      </w:r>
      <w:r>
        <w:rPr>
          <w:rFonts w:hint="eastAsia" w:ascii="仿宋_GB2312" w:hAnsi="仿宋_GB2312" w:eastAsia="仿宋_GB2312" w:cs="仿宋_GB2312"/>
          <w:color w:val="auto"/>
          <w:sz w:val="32"/>
          <w:szCs w:val="32"/>
        </w:rPr>
        <w:t>规划目标为</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咸安区森林覆盖率为43.2%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后因国土三调数据融合、森林覆盖率统计方法变更，2022年森林覆盖率为</w:t>
      </w:r>
      <w:r>
        <w:rPr>
          <w:rFonts w:hint="eastAsia" w:ascii="仿宋_GB2312" w:hAnsi="仿宋_GB2312" w:eastAsia="仿宋_GB2312" w:cs="仿宋_GB2312"/>
          <w:color w:val="auto"/>
          <w:sz w:val="32"/>
          <w:szCs w:val="32"/>
        </w:rPr>
        <w:t>41.50%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2023年上半年预计为41.575%。考虑到咸宁市建设武汉都市圈自然生态公园城市目标，咸安区应发挥主城区引领担当，应加强植树造林、全域绿化行动，力争完成2025年规划目标。</w:t>
      </w:r>
    </w:p>
    <w:bookmarkEnd w:id="178"/>
    <w:p w14:paraId="524A821A">
      <w:pPr>
        <w:pStyle w:val="5"/>
        <w:keepNext/>
        <w:keepLines/>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黑体" w:hAnsi="黑体" w:eastAsia="黑体" w:cs="黑体"/>
          <w:b w:val="0"/>
          <w:bCs/>
          <w:color w:val="auto"/>
          <w:lang w:val="en-US" w:eastAsia="zh-CN"/>
        </w:rPr>
      </w:pPr>
      <w:bookmarkStart w:id="181" w:name="_Toc7200"/>
      <w:bookmarkStart w:id="182" w:name="_Toc21751"/>
      <w:bookmarkStart w:id="183" w:name="_Toc6791"/>
      <w:bookmarkStart w:id="184" w:name="_Toc3610"/>
      <w:bookmarkStart w:id="185" w:name="_Toc13934"/>
      <w:bookmarkStart w:id="186" w:name="_Toc15017"/>
      <w:bookmarkStart w:id="187" w:name="_Toc20510"/>
      <w:r>
        <w:rPr>
          <w:rFonts w:hint="eastAsia" w:ascii="黑体" w:hAnsi="黑体" w:eastAsia="黑体" w:cs="黑体"/>
          <w:b w:val="0"/>
          <w:bCs/>
          <w:color w:val="auto"/>
          <w:lang w:val="en-US" w:eastAsia="zh-CN"/>
        </w:rPr>
        <w:t>5. 安全生产</w:t>
      </w:r>
      <w:r>
        <w:rPr>
          <w:rFonts w:hint="eastAsia" w:ascii="黑体" w:hAnsi="黑体" w:eastAsia="黑体" w:cs="黑体"/>
          <w:b w:val="0"/>
          <w:bCs/>
          <w:color w:val="auto"/>
          <w:lang w:eastAsia="zh-CN"/>
        </w:rPr>
        <w:t>目标</w:t>
      </w:r>
      <w:bookmarkEnd w:id="181"/>
      <w:r>
        <w:rPr>
          <w:rFonts w:hint="eastAsia" w:ascii="黑体" w:hAnsi="黑体" w:eastAsia="黑体" w:cs="黑体"/>
          <w:b w:val="0"/>
          <w:bCs/>
          <w:color w:val="auto"/>
          <w:lang w:val="en-US" w:eastAsia="zh-CN"/>
        </w:rPr>
        <w:t>顺利完成</w:t>
      </w:r>
      <w:bookmarkEnd w:id="182"/>
      <w:bookmarkEnd w:id="183"/>
      <w:bookmarkEnd w:id="184"/>
      <w:bookmarkEnd w:id="185"/>
      <w:bookmarkEnd w:id="186"/>
      <w:bookmarkEnd w:id="187"/>
    </w:p>
    <w:bookmarkEnd w:id="142"/>
    <w:bookmarkEnd w:id="143"/>
    <w:p w14:paraId="611432F8">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color w:val="auto"/>
          <w:sz w:val="32"/>
          <w:szCs w:val="32"/>
          <w:lang w:val="en-US" w:eastAsia="zh-CN"/>
        </w:rPr>
      </w:pP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lang w:val="en-US" w:eastAsia="zh-CN"/>
        </w:rPr>
        <w:t>24</w:t>
      </w: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rPr>
        <w:t>粮食综合生产能力</w:t>
      </w:r>
      <w:r>
        <w:rPr>
          <w:rFonts w:hint="eastAsia" w:ascii="楷体_GB2312" w:hAnsi="楷体_GB2312" w:eastAsia="楷体_GB2312" w:cs="楷体_GB2312"/>
          <w:b/>
          <w:bCs/>
          <w:color w:val="auto"/>
          <w:lang w:eastAsia="zh-CN"/>
        </w:rPr>
        <w:t>。</w:t>
      </w:r>
      <w:r>
        <w:rPr>
          <w:rFonts w:hint="eastAsia" w:ascii="仿宋_GB2312" w:hAnsi="仿宋_GB2312" w:eastAsia="仿宋_GB2312" w:cs="仿宋_GB2312"/>
          <w:color w:val="auto"/>
          <w:sz w:val="32"/>
          <w:szCs w:val="32"/>
          <w:lang w:val="en-US" w:eastAsia="zh-CN"/>
        </w:rPr>
        <w:t>规划目标为22.5万吨，累计增加0.72万吨。2021、2022年咸安区粮食综合生产能力分别为22.59万吨、22.44万吨，2023年上半年收获夏粮4748吨。该</w:t>
      </w:r>
      <w:r>
        <w:rPr>
          <w:rFonts w:hint="eastAsia" w:ascii="仿宋_GB2312" w:hAnsi="仿宋_GB2312" w:eastAsia="仿宋_GB2312" w:cs="仿宋_GB2312"/>
          <w:b w:val="0"/>
          <w:bCs w:val="0"/>
          <w:color w:val="auto"/>
          <w:sz w:val="32"/>
          <w:szCs w:val="32"/>
          <w:lang w:val="en-US" w:eastAsia="zh-CN"/>
        </w:rPr>
        <w:t>指标</w:t>
      </w:r>
      <w:r>
        <w:rPr>
          <w:rFonts w:hint="eastAsia" w:ascii="仿宋_GB2312" w:hAnsi="仿宋_GB2312" w:eastAsia="仿宋_GB2312" w:cs="仿宋_GB2312"/>
          <w:color w:val="auto"/>
          <w:lang w:val="en-US" w:eastAsia="zh-CN"/>
        </w:rPr>
        <w:t>中期实施进度正常。下一步通过高标准农田建设，粮食安全</w:t>
      </w:r>
      <w:r>
        <w:rPr>
          <w:rFonts w:hint="eastAsia" w:ascii="仿宋_GB2312" w:hAnsi="仿宋_GB2312" w:eastAsia="仿宋_GB2312" w:cs="仿宋_GB2312"/>
          <w:b w:val="0"/>
          <w:bCs w:val="0"/>
          <w:color w:val="auto"/>
          <w:sz w:val="32"/>
          <w:szCs w:val="32"/>
          <w:lang w:val="en-US" w:eastAsia="zh-CN"/>
        </w:rPr>
        <w:t>责任进一步夯实，在无重大自然灾害的情况下，预计2025年粮食综合生产能力可超过22.5万吨。</w:t>
      </w:r>
    </w:p>
    <w:p w14:paraId="0215BFDD">
      <w:pPr>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color w:val="auto"/>
          <w:sz w:val="32"/>
          <w:szCs w:val="32"/>
          <w:lang w:val="en-US" w:eastAsia="zh-CN"/>
        </w:rPr>
      </w:pP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lang w:val="en-US" w:eastAsia="zh-CN"/>
        </w:rPr>
        <w:t>25</w:t>
      </w:r>
      <w:r>
        <w:rPr>
          <w:rFonts w:hint="eastAsia" w:ascii="楷体_GB2312" w:hAnsi="楷体_GB2312" w:eastAsia="楷体_GB2312" w:cs="楷体_GB2312"/>
          <w:b/>
          <w:bCs/>
          <w:color w:val="auto"/>
          <w:lang w:eastAsia="zh-CN"/>
        </w:rPr>
        <w:t>）</w:t>
      </w:r>
      <w:r>
        <w:rPr>
          <w:rFonts w:hint="eastAsia" w:ascii="楷体_GB2312" w:hAnsi="楷体_GB2312" w:eastAsia="楷体_GB2312" w:cs="楷体_GB2312"/>
          <w:b/>
          <w:bCs/>
          <w:color w:val="auto"/>
        </w:rPr>
        <w:t>能源综合生产能力</w:t>
      </w:r>
      <w:r>
        <w:rPr>
          <w:rFonts w:hint="eastAsia" w:ascii="楷体_GB2312" w:hAnsi="楷体_GB2312" w:eastAsia="楷体_GB2312" w:cs="楷体_GB2312"/>
          <w:b/>
          <w:bCs/>
          <w:color w:val="auto"/>
          <w:lang w:eastAsia="zh-CN"/>
        </w:rPr>
        <w:t>。</w:t>
      </w:r>
      <w:r>
        <w:rPr>
          <w:rFonts w:hint="eastAsia" w:ascii="仿宋_GB2312" w:hAnsi="仿宋_GB2312" w:eastAsia="仿宋_GB2312" w:cs="仿宋_GB2312"/>
          <w:color w:val="auto"/>
          <w:sz w:val="32"/>
          <w:szCs w:val="32"/>
          <w:lang w:val="en-US" w:eastAsia="zh-CN"/>
        </w:rPr>
        <w:t>规划目标为5万吨，2023年全年预计可达到4.56万吨。该</w:t>
      </w:r>
      <w:r>
        <w:rPr>
          <w:rFonts w:hint="eastAsia" w:ascii="仿宋_GB2312" w:hAnsi="仿宋_GB2312" w:eastAsia="仿宋_GB2312" w:cs="仿宋_GB2312"/>
          <w:b w:val="0"/>
          <w:bCs w:val="0"/>
          <w:color w:val="auto"/>
          <w:sz w:val="32"/>
          <w:szCs w:val="32"/>
          <w:lang w:val="en-US" w:eastAsia="zh-CN"/>
        </w:rPr>
        <w:t>指标</w:t>
      </w:r>
      <w:r>
        <w:rPr>
          <w:rFonts w:hint="eastAsia" w:ascii="仿宋_GB2312" w:hAnsi="仿宋_GB2312" w:eastAsia="仿宋_GB2312" w:cs="仿宋_GB2312"/>
          <w:color w:val="auto"/>
          <w:sz w:val="32"/>
          <w:szCs w:val="32"/>
          <w:lang w:val="en-US" w:eastAsia="zh-CN"/>
        </w:rPr>
        <w:t>中期实施进度正常</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rPr>
        <w:t>预计2025年</w:t>
      </w:r>
      <w:r>
        <w:rPr>
          <w:rFonts w:hint="eastAsia" w:ascii="仿宋_GB2312" w:hAnsi="仿宋_GB2312" w:eastAsia="仿宋_GB2312" w:cs="仿宋_GB2312"/>
          <w:color w:val="auto"/>
          <w:sz w:val="32"/>
          <w:szCs w:val="32"/>
          <w:lang w:val="en-US" w:eastAsia="zh-CN"/>
        </w:rPr>
        <w:t>可实现约束目标。</w:t>
      </w:r>
    </w:p>
    <w:p w14:paraId="734BC0CD">
      <w:pPr>
        <w:rPr>
          <w:rFonts w:hint="default" w:ascii="Times New Roman" w:hAnsi="Times New Roman" w:cs="Times New Roman"/>
          <w:color w:val="auto"/>
        </w:rPr>
      </w:pPr>
    </w:p>
    <w:p w14:paraId="78D80F62">
      <w:pPr>
        <w:pStyle w:val="2"/>
        <w:rPr>
          <w:rFonts w:hint="default" w:ascii="Times New Roman" w:hAnsi="Times New Roman" w:cs="Times New Roman"/>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8F762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0"/>
        <w:rPr>
          <w:rFonts w:hint="default" w:ascii="Times New Roman" w:hAnsi="Times New Roman" w:eastAsia="黑体" w:cs="Times New Roman"/>
          <w:color w:val="auto"/>
          <w:sz w:val="36"/>
          <w:szCs w:val="36"/>
          <w:lang w:val="en-US" w:eastAsia="zh-CN"/>
        </w:rPr>
      </w:pPr>
      <w:bookmarkStart w:id="188" w:name="_Toc27119"/>
      <w:bookmarkStart w:id="189" w:name="_Toc30500"/>
      <w:bookmarkStart w:id="190" w:name="_Toc9938"/>
      <w:r>
        <w:rPr>
          <w:rFonts w:hint="default" w:ascii="Times New Roman" w:hAnsi="Times New Roman" w:eastAsia="黑体" w:cs="Times New Roman"/>
          <w:color w:val="auto"/>
          <w:sz w:val="36"/>
          <w:szCs w:val="36"/>
          <w:lang w:val="en-US" w:eastAsia="zh-CN"/>
        </w:rPr>
        <w:t>附件2：《规划》指标中期完成情况及2025年预期值一览表</w:t>
      </w:r>
      <w:bookmarkEnd w:id="188"/>
      <w:bookmarkEnd w:id="189"/>
      <w:bookmarkEnd w:id="190"/>
    </w:p>
    <w:tbl>
      <w:tblPr>
        <w:tblStyle w:val="18"/>
        <w:tblW w:w="211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4"/>
        <w:gridCol w:w="576"/>
        <w:gridCol w:w="3636"/>
        <w:gridCol w:w="846"/>
        <w:gridCol w:w="1488"/>
        <w:gridCol w:w="1410"/>
        <w:gridCol w:w="1346"/>
        <w:gridCol w:w="877"/>
        <w:gridCol w:w="1493"/>
        <w:gridCol w:w="778"/>
        <w:gridCol w:w="859"/>
        <w:gridCol w:w="870"/>
        <w:gridCol w:w="1061"/>
        <w:gridCol w:w="837"/>
        <w:gridCol w:w="938"/>
        <w:gridCol w:w="576"/>
        <w:gridCol w:w="1185"/>
        <w:gridCol w:w="1656"/>
      </w:tblGrid>
      <w:tr w14:paraId="2D76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restar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5FEF2E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类型</w:t>
            </w:r>
          </w:p>
        </w:tc>
        <w:tc>
          <w:tcPr>
            <w:tcW w:w="576" w:type="dxa"/>
            <w:vMerge w:val="restar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3C616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序号</w:t>
            </w:r>
          </w:p>
        </w:tc>
        <w:tc>
          <w:tcPr>
            <w:tcW w:w="3636" w:type="dxa"/>
            <w:vMerge w:val="restar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F33E49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指 标 名 称</w:t>
            </w:r>
          </w:p>
        </w:tc>
        <w:tc>
          <w:tcPr>
            <w:tcW w:w="846" w:type="dxa"/>
            <w:vMerge w:val="restar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5B4D3D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单位</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4D84A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2020年</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93460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2025年</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C62BFD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年均增速</w:t>
            </w:r>
          </w:p>
        </w:tc>
        <w:tc>
          <w:tcPr>
            <w:tcW w:w="877" w:type="dxa"/>
            <w:vMerge w:val="restar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C83CF4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属性</w:t>
            </w:r>
          </w:p>
        </w:tc>
        <w:tc>
          <w:tcPr>
            <w:tcW w:w="1493"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1B5A4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责任单位</w:t>
            </w:r>
          </w:p>
        </w:tc>
        <w:tc>
          <w:tcPr>
            <w:tcW w:w="1637"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9166A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2021年</w:t>
            </w:r>
          </w:p>
        </w:tc>
        <w:tc>
          <w:tcPr>
            <w:tcW w:w="1931"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FA8CD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2022年</w:t>
            </w:r>
          </w:p>
        </w:tc>
        <w:tc>
          <w:tcPr>
            <w:tcW w:w="1775"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E35FE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2023年上半年</w:t>
            </w:r>
          </w:p>
        </w:tc>
        <w:tc>
          <w:tcPr>
            <w:tcW w:w="576"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72AD4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基本</w:t>
            </w:r>
            <w:r>
              <w:rPr>
                <w:rFonts w:hint="default" w:ascii="Times New Roman" w:hAnsi="Times New Roman" w:cs="Times New Roman" w:eastAsiaTheme="minorEastAsia"/>
                <w:b/>
                <w:bCs/>
                <w:i w:val="0"/>
                <w:iCs w:val="0"/>
                <w:color w:val="auto"/>
                <w:kern w:val="0"/>
                <w:sz w:val="18"/>
                <w:szCs w:val="18"/>
                <w:u w:val="none"/>
                <w:lang w:val="en-US" w:eastAsia="zh-CN" w:bidi="ar"/>
              </w:rPr>
              <w:br w:type="textWrapping"/>
            </w:r>
            <w:r>
              <w:rPr>
                <w:rFonts w:hint="default" w:ascii="Times New Roman" w:hAnsi="Times New Roman" w:cs="Times New Roman" w:eastAsiaTheme="minorEastAsia"/>
                <w:b/>
                <w:bCs/>
                <w:i w:val="0"/>
                <w:iCs w:val="0"/>
                <w:color w:val="auto"/>
                <w:kern w:val="0"/>
                <w:sz w:val="18"/>
                <w:szCs w:val="18"/>
                <w:u w:val="none"/>
                <w:lang w:val="en-US" w:eastAsia="zh-CN" w:bidi="ar"/>
              </w:rPr>
              <w:t>评价</w:t>
            </w:r>
          </w:p>
        </w:tc>
        <w:tc>
          <w:tcPr>
            <w:tcW w:w="1185"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86E09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2025年目标值是否调整</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39F375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2025年</w:t>
            </w:r>
          </w:p>
        </w:tc>
      </w:tr>
      <w:tr w14:paraId="3CD7A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B6ED3A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b/>
                <w:bCs/>
                <w:i w:val="0"/>
                <w:iCs w:val="0"/>
                <w:color w:val="auto"/>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F2CF4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b/>
                <w:bCs/>
                <w:i w:val="0"/>
                <w:iCs w:val="0"/>
                <w:color w:val="auto"/>
                <w:sz w:val="18"/>
                <w:szCs w:val="18"/>
                <w:u w:val="none"/>
              </w:rPr>
            </w:pPr>
          </w:p>
        </w:tc>
        <w:tc>
          <w:tcPr>
            <w:tcW w:w="3636" w:type="dxa"/>
            <w:vMerge w:val="continue"/>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25D77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b/>
                <w:bCs/>
                <w:i w:val="0"/>
                <w:iCs w:val="0"/>
                <w:color w:val="auto"/>
                <w:sz w:val="18"/>
                <w:szCs w:val="18"/>
                <w:u w:val="none"/>
              </w:rPr>
            </w:pPr>
          </w:p>
        </w:tc>
        <w:tc>
          <w:tcPr>
            <w:tcW w:w="846" w:type="dxa"/>
            <w:vMerge w:val="continue"/>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0D443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b/>
                <w:bCs/>
                <w:i w:val="0"/>
                <w:iCs w:val="0"/>
                <w:color w:val="auto"/>
                <w:sz w:val="18"/>
                <w:szCs w:val="18"/>
                <w:u w:val="none"/>
              </w:rPr>
            </w:pP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05FA6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lang w:val="en-US" w:eastAsia="zh-CN"/>
              </w:rPr>
            </w:pPr>
            <w:r>
              <w:rPr>
                <w:rFonts w:hint="default" w:ascii="Times New Roman" w:hAnsi="Times New Roman" w:cs="Times New Roman" w:eastAsiaTheme="minorEastAsia"/>
                <w:b/>
                <w:bCs/>
                <w:i w:val="0"/>
                <w:iCs w:val="0"/>
                <w:color w:val="auto"/>
                <w:sz w:val="18"/>
                <w:szCs w:val="18"/>
                <w:u w:val="none"/>
                <w:lang w:val="en-US" w:eastAsia="zh-CN"/>
              </w:rPr>
              <w:t>基数</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1B513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目标值</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759BE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[累计]</w:t>
            </w:r>
          </w:p>
        </w:tc>
        <w:tc>
          <w:tcPr>
            <w:tcW w:w="877" w:type="dxa"/>
            <w:vMerge w:val="continue"/>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2A181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b/>
                <w:bCs/>
                <w:i w:val="0"/>
                <w:iCs w:val="0"/>
                <w:color w:val="auto"/>
                <w:sz w:val="18"/>
                <w:szCs w:val="18"/>
                <w:u w:val="none"/>
              </w:rPr>
            </w:pPr>
          </w:p>
        </w:tc>
        <w:tc>
          <w:tcPr>
            <w:tcW w:w="1493"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04C2E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b/>
                <w:bCs/>
                <w:i w:val="0"/>
                <w:iCs w:val="0"/>
                <w:color w:val="auto"/>
                <w:sz w:val="18"/>
                <w:szCs w:val="18"/>
                <w:u w:val="none"/>
              </w:rPr>
            </w:pP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67223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总量</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9FD2A5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增速</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A46B13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总量</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A11EFC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增速</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1A5BD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总量</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52794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default" w:ascii="Times New Roman" w:hAnsi="Times New Roman" w:cs="Times New Roman" w:eastAsiaTheme="minorEastAsia"/>
                <w:b/>
                <w:bCs/>
                <w:i w:val="0"/>
                <w:iCs w:val="0"/>
                <w:color w:val="auto"/>
                <w:kern w:val="0"/>
                <w:sz w:val="18"/>
                <w:szCs w:val="18"/>
                <w:u w:val="none"/>
                <w:lang w:val="en-US" w:eastAsia="zh-CN" w:bidi="ar"/>
              </w:rPr>
              <w:t>增速</w:t>
            </w:r>
          </w:p>
        </w:tc>
        <w:tc>
          <w:tcPr>
            <w:tcW w:w="576"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D4EC26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b/>
                <w:bCs/>
                <w:i w:val="0"/>
                <w:iCs w:val="0"/>
                <w:color w:val="auto"/>
                <w:sz w:val="18"/>
                <w:szCs w:val="18"/>
                <w:u w:val="none"/>
              </w:rPr>
            </w:pPr>
          </w:p>
        </w:tc>
        <w:tc>
          <w:tcPr>
            <w:tcW w:w="118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CA87C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b/>
                <w:bCs/>
                <w:i w:val="0"/>
                <w:iCs w:val="0"/>
                <w:color w:val="auto"/>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A199B6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i w:val="0"/>
                <w:iCs w:val="0"/>
                <w:color w:val="auto"/>
                <w:sz w:val="18"/>
                <w:szCs w:val="18"/>
                <w:u w:val="none"/>
              </w:rPr>
            </w:pPr>
            <w:r>
              <w:rPr>
                <w:rFonts w:hint="eastAsia" w:ascii="Times New Roman" w:hAnsi="Times New Roman" w:cs="Times New Roman" w:eastAsiaTheme="minorEastAsia"/>
                <w:b/>
                <w:bCs/>
                <w:i w:val="0"/>
                <w:iCs w:val="0"/>
                <w:color w:val="auto"/>
                <w:kern w:val="0"/>
                <w:sz w:val="18"/>
                <w:szCs w:val="18"/>
                <w:u w:val="none"/>
                <w:lang w:val="en-US" w:eastAsia="zh-CN" w:bidi="ar"/>
              </w:rPr>
              <w:t>预期</w:t>
            </w:r>
            <w:r>
              <w:rPr>
                <w:rFonts w:hint="default" w:ascii="Times New Roman" w:hAnsi="Times New Roman" w:cs="Times New Roman" w:eastAsiaTheme="minorEastAsia"/>
                <w:b/>
                <w:bCs/>
                <w:i w:val="0"/>
                <w:iCs w:val="0"/>
                <w:color w:val="auto"/>
                <w:kern w:val="0"/>
                <w:sz w:val="18"/>
                <w:szCs w:val="18"/>
                <w:u w:val="none"/>
                <w:lang w:val="en-US" w:eastAsia="zh-CN" w:bidi="ar"/>
              </w:rPr>
              <w:t>目标值</w:t>
            </w:r>
          </w:p>
        </w:tc>
      </w:tr>
      <w:tr w14:paraId="00CFF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14"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7635EE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经济</w:t>
            </w:r>
          </w:p>
          <w:p w14:paraId="255FE9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发展</w:t>
            </w: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020E1F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F7E053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地区生产总值</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D150F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亿元</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C9A2F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360.60</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66607A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500亿元以上</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AD99FB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7以上</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8AEA3F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6DC5AF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区发改局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1B3480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 xml:space="preserve">413.20 </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395072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11.40%</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DB6185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441.71</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6BA86E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3.90%</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C2106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sz w:val="18"/>
                <w:szCs w:val="18"/>
                <w:u w:val="none"/>
              </w:rPr>
              <w:t>223.94</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E46E8D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6.9%</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D6470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504E0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340B6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≧500亿元</w:t>
            </w:r>
          </w:p>
        </w:tc>
      </w:tr>
      <w:tr w14:paraId="53D29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EE2AF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75012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A6B4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全员劳动生产率</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7F9F09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万元/人</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628F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9.75</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DEB51F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B6E19D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7以上</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2FF5FF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A66D73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区发改局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B99F93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 xml:space="preserve">12.05 </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8CB98E6">
            <w:pPr>
              <w:keepNext w:val="0"/>
              <w:keepLines w:val="0"/>
              <w:widowControl/>
              <w:suppressLineNumbers w:val="0"/>
              <w:spacing w:line="240" w:lineRule="auto"/>
              <w:ind w:firstLine="0" w:firstLineChars="0"/>
              <w:jc w:val="center"/>
              <w:textAlignment w:val="center"/>
              <w:rPr>
                <w:rFonts w:hint="default" w:ascii="Times New Roman" w:hAnsi="Times New Roman" w:cs="Times New Roman" w:eastAsiaTheme="minorEastAsia"/>
                <w:i w:val="0"/>
                <w:iCs w:val="0"/>
                <w:color w:val="auto"/>
                <w:kern w:val="0"/>
                <w:sz w:val="18"/>
                <w:szCs w:val="18"/>
                <w:u w:val="none"/>
                <w:lang w:bidi="ar"/>
              </w:rPr>
            </w:pPr>
            <w:r>
              <w:rPr>
                <w:rFonts w:hint="default" w:ascii="Times New Roman" w:hAnsi="Times New Roman" w:cs="Times New Roman" w:eastAsiaTheme="minorEastAsia"/>
                <w:i w:val="0"/>
                <w:iCs w:val="0"/>
                <w:color w:val="auto"/>
                <w:kern w:val="0"/>
                <w:sz w:val="18"/>
                <w:szCs w:val="18"/>
                <w:u w:val="none"/>
                <w:lang w:val="en-US" w:eastAsia="zh-CN" w:bidi="ar"/>
              </w:rPr>
              <w:t>23.65%</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97C2D4B">
            <w:pPr>
              <w:keepNext w:val="0"/>
              <w:keepLines w:val="0"/>
              <w:widowControl/>
              <w:suppressLineNumbers w:val="0"/>
              <w:spacing w:line="240" w:lineRule="auto"/>
              <w:ind w:firstLine="0" w:firstLineChars="0"/>
              <w:jc w:val="center"/>
              <w:textAlignment w:val="center"/>
              <w:rPr>
                <w:rFonts w:hint="default" w:ascii="Times New Roman" w:hAnsi="Times New Roman" w:cs="Times New Roman" w:eastAsiaTheme="minorEastAsia"/>
                <w:i w:val="0"/>
                <w:iCs w:val="0"/>
                <w:color w:val="auto"/>
                <w:kern w:val="0"/>
                <w:sz w:val="18"/>
                <w:szCs w:val="18"/>
                <w:u w:val="none"/>
                <w:lang w:bidi="ar"/>
              </w:rPr>
            </w:pPr>
            <w:r>
              <w:rPr>
                <w:rFonts w:hint="default" w:ascii="Times New Roman" w:hAnsi="Times New Roman" w:cs="Times New Roman" w:eastAsiaTheme="minorEastAsia"/>
                <w:i w:val="0"/>
                <w:iCs w:val="0"/>
                <w:color w:val="auto"/>
                <w:kern w:val="0"/>
                <w:sz w:val="18"/>
                <w:szCs w:val="18"/>
                <w:u w:val="none"/>
                <w:lang w:val="en-US" w:eastAsia="zh-CN" w:bidi="ar"/>
              </w:rPr>
              <w:t xml:space="preserve">13.28 </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CD43E5E">
            <w:pPr>
              <w:keepNext w:val="0"/>
              <w:keepLines w:val="0"/>
              <w:widowControl/>
              <w:suppressLineNumbers w:val="0"/>
              <w:spacing w:line="240" w:lineRule="auto"/>
              <w:ind w:firstLine="0" w:firstLineChars="0"/>
              <w:jc w:val="center"/>
              <w:textAlignment w:val="center"/>
              <w:rPr>
                <w:rFonts w:hint="default" w:ascii="Times New Roman" w:hAnsi="Times New Roman" w:cs="Times New Roman" w:eastAsiaTheme="minorEastAsia"/>
                <w:i w:val="0"/>
                <w:iCs w:val="0"/>
                <w:color w:val="auto"/>
                <w:kern w:val="0"/>
                <w:sz w:val="18"/>
                <w:szCs w:val="18"/>
                <w:u w:val="none"/>
                <w:lang w:bidi="ar"/>
              </w:rPr>
            </w:pPr>
            <w:r>
              <w:rPr>
                <w:rFonts w:hint="default" w:ascii="Times New Roman" w:hAnsi="Times New Roman" w:cs="Times New Roman" w:eastAsiaTheme="minorEastAsia"/>
                <w:i w:val="0"/>
                <w:iCs w:val="0"/>
                <w:color w:val="auto"/>
                <w:kern w:val="0"/>
                <w:sz w:val="18"/>
                <w:szCs w:val="18"/>
                <w:u w:val="none"/>
                <w:lang w:val="en-US" w:eastAsia="zh-CN" w:bidi="ar"/>
              </w:rPr>
              <w:t>10.15%</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C1A69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sz w:val="18"/>
                <w:szCs w:val="18"/>
                <w:u w:val="none"/>
                <w:lang w:val="en-US" w:eastAsia="zh-CN"/>
              </w:rPr>
              <w:t>无半年数据</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0F09FF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8991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超前</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A015C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7CE8A9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年均增速7%以上</w:t>
            </w:r>
          </w:p>
        </w:tc>
      </w:tr>
      <w:tr w14:paraId="6CE26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9D28A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13D1C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3</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FBEE1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规模以上工业增加值</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09308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62F26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E513C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6D4D85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8.5以上</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4E6E91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154B20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区科经局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768FE4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A94F59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10%</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E0944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7F7339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6.10%</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9645D3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8762A1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8.3%</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0E1D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滞后</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C8871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eastAsia"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7FD60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年均增速</w:t>
            </w:r>
            <w:r>
              <w:rPr>
                <w:rFonts w:hint="eastAsia" w:ascii="Times New Roman" w:hAnsi="Times New Roman" w:cs="Times New Roman" w:eastAsiaTheme="minorEastAsia"/>
                <w:i w:val="0"/>
                <w:iCs w:val="0"/>
                <w:color w:val="auto"/>
                <w:kern w:val="0"/>
                <w:sz w:val="18"/>
                <w:szCs w:val="18"/>
                <w:u w:val="none"/>
                <w:lang w:val="en-US" w:eastAsia="zh-CN" w:bidi="ar"/>
              </w:rPr>
              <w:t>8</w:t>
            </w:r>
            <w:r>
              <w:rPr>
                <w:rFonts w:hint="default" w:ascii="Times New Roman" w:hAnsi="Times New Roman" w:cs="Times New Roman" w:eastAsiaTheme="minorEastAsia"/>
                <w:i w:val="0"/>
                <w:iCs w:val="0"/>
                <w:color w:val="auto"/>
                <w:kern w:val="0"/>
                <w:sz w:val="18"/>
                <w:szCs w:val="18"/>
                <w:u w:val="none"/>
                <w:lang w:val="en-US" w:eastAsia="zh-CN" w:bidi="ar"/>
              </w:rPr>
              <w:t>.5%以上</w:t>
            </w:r>
          </w:p>
        </w:tc>
      </w:tr>
      <w:tr w14:paraId="08475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BE5D0A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89B5C0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4EB0F5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常住人口城镇化率</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23F243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C839B8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69.8</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58C65A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71</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34956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56769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2E8FC3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区统计局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0DA53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73.81</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39730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494749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74.51</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D1AC8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3EE6A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DA451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8EAC3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超前</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C76545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44592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75%</w:t>
            </w:r>
          </w:p>
        </w:tc>
      </w:tr>
      <w:tr w14:paraId="45BBE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D90FE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创新</w:t>
            </w:r>
          </w:p>
          <w:p w14:paraId="5B465E0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能力</w:t>
            </w: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91C1C1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w:t>
            </w:r>
          </w:p>
        </w:tc>
        <w:tc>
          <w:tcPr>
            <w:tcW w:w="363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4B011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研发经费投入增长</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6DEC5E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EF0085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D5382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7AEE0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7.5以上</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37CDE3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8E596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区科经局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9A2F3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 xml:space="preserve">-1.50 </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446A78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F17E8D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-12.74</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49523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713CB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无半年数据</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86CF5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02D5EB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滞后</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DAB48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B4E9C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color w:val="auto"/>
                <w:kern w:val="0"/>
                <w:sz w:val="18"/>
                <w:szCs w:val="18"/>
                <w:lang w:bidi="ar"/>
              </w:rPr>
              <w:t>7.5%</w:t>
            </w:r>
            <w:r>
              <w:rPr>
                <w:rFonts w:hint="default" w:ascii="Times New Roman" w:hAnsi="Times New Roman" w:cs="Times New Roman" w:eastAsiaTheme="minorEastAsia"/>
                <w:color w:val="auto"/>
                <w:kern w:val="0"/>
                <w:sz w:val="18"/>
                <w:szCs w:val="18"/>
                <w:lang w:val="en-US" w:eastAsia="zh-CN" w:bidi="ar"/>
              </w:rPr>
              <w:t>以上</w:t>
            </w:r>
          </w:p>
        </w:tc>
      </w:tr>
      <w:tr w14:paraId="51669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6D5D5D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6B1295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6</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382363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每万人发明专利拥有量</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CC9258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件</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8384CA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rPr>
            </w:pPr>
            <w:r>
              <w:rPr>
                <w:rFonts w:hint="default" w:ascii="Times New Roman" w:hAnsi="Times New Roman" w:cs="Times New Roman" w:eastAsiaTheme="minorEastAsia"/>
                <w:i w:val="0"/>
                <w:iCs w:val="0"/>
                <w:color w:val="auto"/>
                <w:kern w:val="0"/>
                <w:sz w:val="18"/>
                <w:szCs w:val="18"/>
                <w:u w:val="none"/>
                <w:lang w:val="en-US" w:eastAsia="zh-CN" w:bidi="ar"/>
              </w:rPr>
              <w:t>4.71</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B0536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5.1</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5ADBB9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3F882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6DDF9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rPr>
            </w:pPr>
            <w:r>
              <w:rPr>
                <w:rFonts w:hint="default" w:ascii="Times New Roman" w:hAnsi="Times New Roman" w:cs="Times New Roman" w:eastAsiaTheme="minorEastAsia"/>
                <w:i w:val="0"/>
                <w:iCs w:val="0"/>
                <w:color w:val="auto"/>
                <w:kern w:val="0"/>
                <w:sz w:val="18"/>
                <w:szCs w:val="18"/>
                <w:u w:val="none"/>
                <w:lang w:val="en-US" w:eastAsia="zh-CN" w:bidi="ar"/>
              </w:rPr>
              <w:t>区市场监督管理局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43312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5.23</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FC01E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CF9223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7.22</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D3D4B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FDE21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F85FC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A3CCF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超前</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73D1D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AFCFF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rPr>
            </w:pPr>
            <w:r>
              <w:rPr>
                <w:rFonts w:hint="default" w:ascii="Times New Roman" w:hAnsi="Times New Roman" w:cs="Times New Roman" w:eastAsiaTheme="minorEastAsia"/>
                <w:i w:val="0"/>
                <w:iCs w:val="0"/>
                <w:color w:val="auto"/>
                <w:kern w:val="0"/>
                <w:sz w:val="18"/>
                <w:szCs w:val="18"/>
                <w:u w:val="none"/>
                <w:lang w:val="en-US" w:eastAsia="zh-CN" w:bidi="ar"/>
              </w:rPr>
              <w:t>＞7.5</w:t>
            </w:r>
          </w:p>
        </w:tc>
      </w:tr>
      <w:tr w14:paraId="76D2B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DBBCD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8F38B2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C29D65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高新技术产业增加值占GDP比重</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58E62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1363A4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21.97</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E73B9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23</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A99F7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7C8A3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5F31DD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区科经局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5F131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20.75</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BA058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06B5D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22.66</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9470C3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93C71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BC6DB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8AA70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超前</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76A6D0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0957A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23</w:t>
            </w:r>
          </w:p>
        </w:tc>
      </w:tr>
      <w:tr w14:paraId="50DB4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AAB79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E23B9F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8</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0FC7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数字经济核心产业增加值占GDP比重</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EAD46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949FF3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B55C12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10%</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209AD8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3F559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CF94C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eastAsia" w:ascii="Times New Roman" w:hAnsi="Times New Roman" w:cs="Times New Roman" w:eastAsiaTheme="minorEastAsia"/>
                <w:i w:val="0"/>
                <w:iCs w:val="0"/>
                <w:color w:val="auto"/>
                <w:kern w:val="0"/>
                <w:sz w:val="18"/>
                <w:szCs w:val="18"/>
                <w:u w:val="none"/>
                <w:lang w:val="en-US" w:eastAsia="zh-CN" w:bidi="ar"/>
              </w:rPr>
              <w:t>区</w:t>
            </w:r>
            <w:r>
              <w:rPr>
                <w:rFonts w:hint="default" w:ascii="Times New Roman" w:hAnsi="Times New Roman" w:cs="Times New Roman" w:eastAsiaTheme="minorEastAsia"/>
                <w:i w:val="0"/>
                <w:iCs w:val="0"/>
                <w:color w:val="auto"/>
                <w:kern w:val="0"/>
                <w:sz w:val="18"/>
                <w:szCs w:val="18"/>
                <w:u w:val="none"/>
                <w:lang w:val="en-US" w:eastAsia="zh-CN" w:bidi="ar"/>
              </w:rPr>
              <w:t>发改局</w:t>
            </w:r>
            <w:r>
              <w:rPr>
                <w:rFonts w:hint="eastAsia" w:ascii="Times New Roman" w:hAnsi="Times New Roman" w:cs="Times New Roman" w:eastAsiaTheme="minorEastAsia"/>
                <w:i w:val="0"/>
                <w:iCs w:val="0"/>
                <w:color w:val="auto"/>
                <w:kern w:val="0"/>
                <w:sz w:val="18"/>
                <w:szCs w:val="18"/>
                <w:u w:val="none"/>
                <w:lang w:val="en-US" w:eastAsia="zh-CN" w:bidi="ar"/>
              </w:rPr>
              <w:t>、区</w:t>
            </w:r>
            <w:r>
              <w:rPr>
                <w:rFonts w:hint="default" w:ascii="Times New Roman" w:hAnsi="Times New Roman" w:cs="Times New Roman" w:eastAsiaTheme="minorEastAsia"/>
                <w:i w:val="0"/>
                <w:iCs w:val="0"/>
                <w:color w:val="auto"/>
                <w:kern w:val="0"/>
                <w:sz w:val="18"/>
                <w:szCs w:val="18"/>
                <w:u w:val="none"/>
                <w:lang w:val="en-US" w:eastAsia="zh-CN" w:bidi="ar"/>
              </w:rPr>
              <w:t>科经局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37F751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3</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2129B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591AD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F808E9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696333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14EC52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1AA2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C65C2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44589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10</w:t>
            </w:r>
          </w:p>
        </w:tc>
      </w:tr>
      <w:tr w14:paraId="15753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966A89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民生</w:t>
            </w:r>
          </w:p>
          <w:p w14:paraId="156D56B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就业</w:t>
            </w: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FD2F15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9</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0BB8C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城镇居民人均可支配收入</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275FC3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元</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9898D2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36585</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A83413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D6E929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与经济增长同步</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90D22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65740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区发改局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DC45A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40755</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048A16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11.40%</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971158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43771</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403B31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7.40%</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7325B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sz w:val="18"/>
                <w:szCs w:val="18"/>
                <w:u w:val="none"/>
              </w:rPr>
              <w:t>18870</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85EF2C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sz w:val="18"/>
                <w:szCs w:val="18"/>
                <w:u w:val="none"/>
              </w:rPr>
              <w:t>5.6%</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3D9B3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超前</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4902D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AA4169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与经济增长同步</w:t>
            </w:r>
          </w:p>
        </w:tc>
      </w:tr>
      <w:tr w14:paraId="2ED9C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3B741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E4956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10</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A7AB3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农村居民人均可支配收入</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7E23A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元</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8FEA86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17904</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1E1D49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B4186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与经济增长同步</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16366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5C6623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区农业农村局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682C0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20257</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1E860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13.10%</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4FB760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21898</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532FD6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8.10%</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D601A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sz w:val="18"/>
                <w:szCs w:val="18"/>
                <w:u w:val="none"/>
              </w:rPr>
              <w:t>9688</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546A88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sz w:val="18"/>
                <w:szCs w:val="18"/>
                <w:u w:val="none"/>
              </w:rPr>
              <w:t>7.8%</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5553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超前</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B332B8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6B1193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与经济增长同步</w:t>
            </w:r>
          </w:p>
        </w:tc>
      </w:tr>
      <w:tr w14:paraId="157AC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0DDBF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5F57F6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11</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EA033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城镇调查失业率</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9D706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7C5319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4.5以内</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97B9E6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各年度视情提出</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291E6C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A7EB4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2C50D0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区人社局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C937BA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9152B9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B3A08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ECF5D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10CF6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B642E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7A80A5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7F462A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CC60A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完成上级下达目标</w:t>
            </w:r>
          </w:p>
        </w:tc>
      </w:tr>
      <w:tr w14:paraId="7BB3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2507D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08B53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12</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A1015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人均预期寿命</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D056E9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岁</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74FB9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78</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EAB20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78.5</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3CF548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FE4E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86ECE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区卫健局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64E61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78.12</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AA27FC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A26E3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78.14</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31509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2D1B98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78.14</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8E4219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F36756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F5A9D1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696424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78.5</w:t>
            </w:r>
          </w:p>
        </w:tc>
      </w:tr>
      <w:tr w14:paraId="63608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5C872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CBE7F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13</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463376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劳动年龄人口平均受教育年限</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1C70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年</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658133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11.1</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70B8A0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11.4</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4B0DAD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8938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E77181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区教育局/统计局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FB572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6F8442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8DCF30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7D7159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722A0D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A4857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7340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AA94D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AC8B9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11.4</w:t>
            </w:r>
          </w:p>
        </w:tc>
      </w:tr>
      <w:tr w14:paraId="33C47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76E1E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129A5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14</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C2F028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基本养老保险参保率</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16087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C911B4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7F4E6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95</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CF10D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55A5C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6ADFD9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区人社局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1F9B3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91</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EBC6ED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99F51C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92</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4A8823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C0EA3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9DE1F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3C221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D4DAE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97D405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95%</w:t>
            </w:r>
          </w:p>
        </w:tc>
      </w:tr>
      <w:tr w14:paraId="63A7E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33C9B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11D6A7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15</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35761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每千人口拥有执业（助理）医师数</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1163D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人</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4D5508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1.92</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ACE7AE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3</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92D7D8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5728C0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AE27A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区卫健局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FB3CFF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3.1</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62807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8EE22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3.4</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0326F7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BA5E6D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3.5</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C644B0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8AABB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超前</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4D063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0E2C5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rPr>
            </w:pPr>
            <w:r>
              <w:rPr>
                <w:rFonts w:hint="default" w:ascii="Times New Roman" w:hAnsi="Times New Roman" w:cs="Times New Roman" w:eastAsiaTheme="minorEastAsia"/>
                <w:i w:val="0"/>
                <w:iCs w:val="0"/>
                <w:color w:val="auto"/>
                <w:kern w:val="0"/>
                <w:sz w:val="18"/>
                <w:szCs w:val="18"/>
                <w:u w:val="none"/>
                <w:lang w:val="en-US" w:eastAsia="zh-CN" w:bidi="ar"/>
              </w:rPr>
              <w:t>＞3.5</w:t>
            </w:r>
          </w:p>
        </w:tc>
      </w:tr>
      <w:tr w14:paraId="0031A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3D151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06DE5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16</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0C859F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每千人口拥有0-3岁婴幼儿托位数</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CC358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个</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3FA74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0.92</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5A24F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C323F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EF9DE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23623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区卫健局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78EDD3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4.1</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09194E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4DF71C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5.6</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87D2F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7539F7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5.9</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2CCA4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C45571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超前</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4767A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9DDE9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6</w:t>
            </w:r>
          </w:p>
        </w:tc>
      </w:tr>
      <w:tr w14:paraId="44B3F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14"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74719A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生态</w:t>
            </w:r>
          </w:p>
          <w:p w14:paraId="20F8632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环境</w:t>
            </w: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7F2F5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17</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F0FA40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单位GDP能源消耗降低</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40D8C4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45DD4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029108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07C0FB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[-14]</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F9F38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DD0E7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区发改局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2D61EE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 xml:space="preserve">-3.0 </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0DCA8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完成当年目标</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7FFEB4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0.22</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C15AFF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未完成当年目标</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C23A74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sz w:val="18"/>
                <w:szCs w:val="18"/>
                <w:u w:val="none"/>
                <w:lang w:val="en-US" w:eastAsia="zh-CN"/>
              </w:rPr>
              <w:t>无半年数据</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3A442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44064A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滞后</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3CF1E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56F74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r>
      <w:tr w14:paraId="7ECE3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B7143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98F64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18</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6DD70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单位GDP二氧化碳排放降低</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8B197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DCE0C5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89B91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937045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[-19]</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B3A28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215070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市生态环境局咸安分局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997896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-27.7</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2C205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完成当年目标</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D70E3F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-4.39</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D82D20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完成当年目标</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8834E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无半年数据</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CCA61F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D0D34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F4532C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B5A17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r>
      <w:tr w14:paraId="5187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46AE5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085D9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19</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28D3B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地表水达到或好于Ⅲ类水体比例</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FD392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8ABB6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80</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73BDA3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72964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9755F4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377E5B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市生态环境局咸安分局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F5A8D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100</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D04EE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完成当年目标</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A0BFF8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92.8</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BE959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未完成当年目标</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6CC98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100</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E4396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完成半年目标</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8DE7A2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D5304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B57E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r>
      <w:tr w14:paraId="5D432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A0CAB0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00A433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20</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80360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城市空气质量优良天数比例</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471FF0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72FEF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2E5C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55D65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1D80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E4A5B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市生态环境局咸安分局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00BB9B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93.9</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529267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完成当年目标</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27EB5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85.5</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CF9F1B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未完成当年目标</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AB81E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rPr>
            </w:pPr>
            <w:r>
              <w:rPr>
                <w:rFonts w:hint="default" w:ascii="Times New Roman" w:hAnsi="Times New Roman" w:cs="Times New Roman" w:eastAsiaTheme="minorEastAsia"/>
                <w:i w:val="0"/>
                <w:iCs w:val="0"/>
                <w:color w:val="auto"/>
                <w:kern w:val="0"/>
                <w:sz w:val="18"/>
                <w:szCs w:val="18"/>
                <w:u w:val="none"/>
                <w:lang w:val="en-US" w:eastAsia="zh-CN" w:bidi="ar"/>
              </w:rPr>
              <w:t>85.4</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2418B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省定指标未下达</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0308B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60694F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5E71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r>
      <w:tr w14:paraId="3A0C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C0C01B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F1177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21</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2054D9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万元GDP用水量降低</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5FD94E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61A0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A17D0A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B5EACD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[-16]</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4B998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088C97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区水利局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93D58C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-2.6</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7329E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完成当年目标</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29B646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-16</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6C902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完成当年目标</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0C8EB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sz w:val="18"/>
                <w:szCs w:val="18"/>
                <w:u w:val="none"/>
                <w:lang w:val="en-US" w:eastAsia="zh-CN"/>
              </w:rPr>
              <w:t>无半年数据</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38E03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97952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FB342E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2746F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r>
      <w:tr w14:paraId="73E4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8E783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EE411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22</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78677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万元GDP地耗降低</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3209F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EE472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253710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完成省定目标</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655747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[-26.6]</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55905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5EEE1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区自规局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508141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rPr>
            </w:pPr>
            <w:r>
              <w:rPr>
                <w:rFonts w:hint="default" w:ascii="Times New Roman" w:hAnsi="Times New Roman" w:cs="Times New Roman" w:eastAsiaTheme="minorEastAsia"/>
                <w:i w:val="0"/>
                <w:iCs w:val="0"/>
                <w:color w:val="auto"/>
                <w:kern w:val="0"/>
                <w:sz w:val="18"/>
                <w:szCs w:val="18"/>
                <w:u w:val="none"/>
                <w:lang w:val="en-US" w:eastAsia="zh-CN" w:bidi="ar"/>
              </w:rPr>
              <w:t>-16.8</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257E6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C3DEB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-5.8</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295CF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F0BD8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sz w:val="18"/>
                <w:szCs w:val="18"/>
                <w:u w:val="none"/>
                <w:lang w:val="en-US" w:eastAsia="zh-CN"/>
              </w:rPr>
              <w:t>无半年数据</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018F8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kern w:val="2"/>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352FE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1CA987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49BB67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累计增速[-26.6]%</w:t>
            </w:r>
          </w:p>
        </w:tc>
      </w:tr>
      <w:tr w14:paraId="72EE7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9CAC0A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B08DD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23</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F11C8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森林覆盖率</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0FB53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E5581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lang w:eastAsia="zh-CN"/>
              </w:rPr>
            </w:pPr>
            <w:r>
              <w:rPr>
                <w:rFonts w:hint="default" w:ascii="Times New Roman" w:hAnsi="Times New Roman" w:cs="Times New Roman" w:eastAsiaTheme="minorEastAsia"/>
                <w:i w:val="0"/>
                <w:iCs w:val="0"/>
                <w:color w:val="auto"/>
                <w:sz w:val="18"/>
                <w:szCs w:val="18"/>
                <w:u w:val="none"/>
                <w:lang w:eastAsia="zh-CN"/>
              </w:rPr>
              <w:t>43.7</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8CD19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50</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D4EFDB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F71A9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A03A43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区林业局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3F227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43.2</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C35FA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CA71D2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41.5</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6623A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F5B3C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预计41.575</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62973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E3FAA6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滞后</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C3F0F7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eastAsia"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5028AD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eastAsia" w:ascii="Times New Roman" w:hAnsi="Times New Roman" w:cs="Times New Roman" w:eastAsiaTheme="minorEastAsia"/>
                <w:i w:val="0"/>
                <w:iCs w:val="0"/>
                <w:color w:val="auto"/>
                <w:kern w:val="0"/>
                <w:sz w:val="18"/>
                <w:szCs w:val="18"/>
                <w:u w:val="none"/>
                <w:lang w:val="en-US" w:eastAsia="zh-CN" w:bidi="ar"/>
              </w:rPr>
              <w:t>50</w:t>
            </w:r>
            <w:r>
              <w:rPr>
                <w:rFonts w:hint="default" w:ascii="Times New Roman" w:hAnsi="Times New Roman" w:cs="Times New Roman" w:eastAsiaTheme="minorEastAsia"/>
                <w:i w:val="0"/>
                <w:iCs w:val="0"/>
                <w:color w:val="auto"/>
                <w:kern w:val="0"/>
                <w:sz w:val="18"/>
                <w:szCs w:val="18"/>
                <w:u w:val="none"/>
                <w:lang w:val="en-US" w:eastAsia="zh-CN" w:bidi="ar"/>
              </w:rPr>
              <w:t>%</w:t>
            </w:r>
          </w:p>
        </w:tc>
      </w:tr>
      <w:tr w14:paraId="79A1F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FDED2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安全</w:t>
            </w:r>
          </w:p>
          <w:p w14:paraId="138418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生产</w:t>
            </w: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0C7B3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24</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49F80F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粮食综合生产能力</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7785EE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万吨</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26037A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21.78</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C8E7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22.5</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FAE6B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647711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6DC2F8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区农业农村局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E1C90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22.59</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CF0CE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2.20%</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AB66E3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22.44</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77C63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-0.70%</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BFC44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夏粮0.4748</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F2CCE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sz w:val="18"/>
                <w:szCs w:val="18"/>
                <w:u w:val="none"/>
              </w:rPr>
              <w:t>0.6%</w:t>
            </w: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C3E8E1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5DB85B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1B8B30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≧22.5万吨</w:t>
            </w:r>
          </w:p>
        </w:tc>
      </w:tr>
      <w:tr w14:paraId="7355F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F2191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i w:val="0"/>
                <w:iCs w:val="0"/>
                <w:color w:val="auto"/>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119E5A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25</w:t>
            </w:r>
          </w:p>
        </w:tc>
        <w:tc>
          <w:tcPr>
            <w:tcW w:w="363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BE28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能源综合生产能力</w:t>
            </w:r>
          </w:p>
        </w:tc>
        <w:tc>
          <w:tcPr>
            <w:tcW w:w="84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14859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万吨</w:t>
            </w:r>
          </w:p>
        </w:tc>
        <w:tc>
          <w:tcPr>
            <w:tcW w:w="1488"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975B6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410"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450E1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5</w:t>
            </w:r>
          </w:p>
        </w:tc>
        <w:tc>
          <w:tcPr>
            <w:tcW w:w="1346"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F9858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7"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86D00A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约束性</w:t>
            </w:r>
          </w:p>
        </w:tc>
        <w:tc>
          <w:tcPr>
            <w:tcW w:w="149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CB473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区发改局</w:t>
            </w:r>
          </w:p>
        </w:tc>
        <w:tc>
          <w:tcPr>
            <w:tcW w:w="77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D321C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59"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04300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ECC465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8D43F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AB1374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全年预计4.56</w:t>
            </w:r>
          </w:p>
        </w:tc>
        <w:tc>
          <w:tcPr>
            <w:tcW w:w="938"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43127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630A25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正常</w:t>
            </w:r>
          </w:p>
        </w:tc>
        <w:tc>
          <w:tcPr>
            <w:tcW w:w="1185"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EF31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否</w:t>
            </w:r>
          </w:p>
        </w:tc>
        <w:tc>
          <w:tcPr>
            <w:tcW w:w="1656" w:type="dxa"/>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DB1FE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w:t>
            </w:r>
            <w:r>
              <w:rPr>
                <w:rStyle w:val="30"/>
                <w:rFonts w:hint="default" w:ascii="Times New Roman" w:hAnsi="Times New Roman" w:cs="Times New Roman" w:eastAsiaTheme="minorEastAsia"/>
                <w:color w:val="auto"/>
                <w:lang w:val="en-US" w:eastAsia="zh-CN" w:bidi="ar"/>
              </w:rPr>
              <w:t>5万吨</w:t>
            </w:r>
          </w:p>
        </w:tc>
      </w:tr>
    </w:tbl>
    <w:p w14:paraId="1CB1ADD2">
      <w:pPr>
        <w:ind w:left="0" w:leftChars="0" w:firstLine="0" w:firstLineChars="0"/>
        <w:rPr>
          <w:rFonts w:hint="default" w:ascii="Times New Roman" w:hAnsi="Times New Roman" w:eastAsia="仿宋_GB2312" w:cs="Times New Roman"/>
          <w:color w:val="auto"/>
          <w:lang w:val="en-US" w:eastAsia="zh-CN"/>
        </w:rPr>
        <w:sectPr>
          <w:headerReference r:id="rId8" w:type="default"/>
          <w:footerReference r:id="rId9" w:type="default"/>
          <w:pgSz w:w="23811" w:h="16838"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6626478">
      <w:pPr>
        <w:tabs>
          <w:tab w:val="left" w:pos="3996"/>
        </w:tabs>
        <w:bidi w:val="0"/>
        <w:ind w:left="0" w:leftChars="0" w:firstLine="0" w:firstLineChars="0"/>
        <w:jc w:val="left"/>
        <w:rPr>
          <w:rFonts w:hint="default" w:ascii="仿宋" w:hAnsi="仿宋" w:eastAsia="仿宋" w:cs="Times New Roman"/>
          <w:kern w:val="2"/>
          <w:sz w:val="32"/>
          <w:szCs w:val="22"/>
          <w:lang w:val="en-US" w:eastAsia="zh-CN" w:bidi="ar-SA"/>
        </w:rPr>
      </w:pPr>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9311E7-B223-4BAE-BEA6-8905647CB4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EFDF387E-C77A-4BFC-8674-78DFCD89C82B}"/>
  </w:font>
  <w:font w:name="楷体">
    <w:panose1 w:val="02010609060101010101"/>
    <w:charset w:val="86"/>
    <w:family w:val="auto"/>
    <w:pitch w:val="default"/>
    <w:sig w:usb0="800002BF" w:usb1="38CF7CFA" w:usb2="00000016" w:usb3="00000000" w:csb0="00040001" w:csb1="00000000"/>
    <w:embedRegular r:id="rId3" w:fontKey="{3A8E036F-135F-4DA6-83FF-2F5D9828A5C2}"/>
  </w:font>
  <w:font w:name="仿宋_GB2312">
    <w:panose1 w:val="02010609030101010101"/>
    <w:charset w:val="86"/>
    <w:family w:val="auto"/>
    <w:pitch w:val="default"/>
    <w:sig w:usb0="00000001" w:usb1="080E0000" w:usb2="00000000" w:usb3="00000000" w:csb0="00040000" w:csb1="00000000"/>
    <w:embedRegular r:id="rId4" w:fontKey="{360A685F-BC94-4E77-B42B-19B590974783}"/>
  </w:font>
  <w:font w:name="Arial Unicode MS">
    <w:panose1 w:val="020B0604020202020204"/>
    <w:charset w:val="86"/>
    <w:family w:val="auto"/>
    <w:pitch w:val="default"/>
    <w:sig w:usb0="FFFFFFFF" w:usb1="E9FFFFFF" w:usb2="0000003F" w:usb3="00000000" w:csb0="603F01FF" w:csb1="FFFF0000"/>
    <w:embedRegular r:id="rId5" w:fontKey="{BD844397-67A7-493A-928C-EA936BC68C6C}"/>
  </w:font>
  <w:font w:name="楷体_GB2312">
    <w:panose1 w:val="02010609030101010101"/>
    <w:charset w:val="86"/>
    <w:family w:val="auto"/>
    <w:pitch w:val="default"/>
    <w:sig w:usb0="00000001" w:usb1="080E0000" w:usb2="00000000" w:usb3="00000000" w:csb0="00040000" w:csb1="00000000"/>
    <w:embedRegular r:id="rId6" w:fontKey="{C5F50CF6-01F1-4AF7-ADA0-620088D0988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BC52B">
    <w:pPr>
      <w:pStyle w:val="11"/>
      <w:tabs>
        <w:tab w:val="left" w:pos="4538"/>
        <w:tab w:val="clear" w:pos="4153"/>
        <w:tab w:val="clear" w:pos="8306"/>
      </w:tabs>
      <w:ind w:right="360"/>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14935" cy="14795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w="9525">
                        <a:noFill/>
                      </a:ln>
                      <a:effectLst/>
                    </wps:spPr>
                    <wps:txbx>
                      <w:txbxContent>
                        <w:p w14:paraId="36A0279E">
                          <w:pPr>
                            <w:pStyle w:val="11"/>
                            <w:rPr>
                              <w:rFonts w:ascii="宋体" w:hAnsi="宋体" w:eastAsia="宋体" w:cs="宋体"/>
                            </w:rPr>
                          </w:pPr>
                        </w:p>
                      </w:txbxContent>
                    </wps:txbx>
                    <wps:bodyPr vert="horz" wrap="none" lIns="0" tIns="0" rIns="0" bIns="0" anchor="t" anchorCtr="0" upright="1">
                      <a:spAutoFit/>
                    </wps:bodyPr>
                  </wps:wsp>
                </a:graphicData>
              </a:graphic>
            </wp:anchor>
          </w:drawing>
        </mc:Choice>
        <mc:Fallback>
          <w:pict>
            <v:shape id="文本框 4" o:spid="_x0000_s1026" o:spt="202" type="#_x0000_t202" style="position:absolute;left:0pt;margin-top:0pt;height:11.65pt;width:9.05pt;mso-position-horizontal:right;mso-position-horizontal-relative:margin;mso-wrap-style:none;z-index:251661312;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6W/&#10;D9EAAAADAQAADwAAAAAAAAABACAAAAAiAAAAZHJzL2Rvd25yZXYueG1sUEsBAhQAFAAAAAgAh07i&#10;QPwWO1jwAQAA0wMAAA4AAAAAAAAAAQAgAAAAIAEAAGRycy9lMm9Eb2MueG1sUEsFBgAAAAAGAAYA&#10;WQEAAIIFAAAAAA==&#10;">
              <v:fill on="f" focussize="0,0"/>
              <v:stroke on="f"/>
              <v:imagedata o:title=""/>
              <o:lock v:ext="edit" aspectratio="f"/>
              <v:textbox inset="0mm,0mm,0mm,0mm" style="mso-fit-shape-to-text:t;">
                <w:txbxContent>
                  <w:p w14:paraId="36A0279E">
                    <w:pPr>
                      <w:pStyle w:val="11"/>
                      <w:rPr>
                        <w:rFonts w:ascii="宋体" w:hAnsi="宋体" w:eastAsia="宋体" w:cs="宋体"/>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705DA">
    <w:pPr>
      <w:pStyle w:val="11"/>
      <w:tabs>
        <w:tab w:val="left" w:pos="4538"/>
        <w:tab w:val="clear" w:pos="4153"/>
        <w:tab w:val="clear" w:pos="8306"/>
      </w:tabs>
      <w:ind w:right="360"/>
    </w:pPr>
    <w: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14935" cy="147955"/>
              <wp:effectExtent l="0" t="0" r="0" b="0"/>
              <wp:wrapNone/>
              <wp:docPr id="11" name="文本框 4"/>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w="9525">
                        <a:noFill/>
                      </a:ln>
                      <a:effectLst/>
                    </wps:spPr>
                    <wps:txbx>
                      <w:txbxContent>
                        <w:p w14:paraId="0DE48D9D">
                          <w:pPr>
                            <w:pStyle w:val="11"/>
                            <w:rPr>
                              <w:rFonts w:ascii="宋体" w:hAnsi="宋体" w:eastAsia="宋体" w:cs="宋体"/>
                            </w:rPr>
                          </w:pPr>
                        </w:p>
                      </w:txbxContent>
                    </wps:txbx>
                    <wps:bodyPr vert="horz" wrap="none" lIns="0" tIns="0" rIns="0" bIns="0" anchor="t" anchorCtr="0" upright="1">
                      <a:spAutoFit/>
                    </wps:bodyPr>
                  </wps:wsp>
                </a:graphicData>
              </a:graphic>
            </wp:anchor>
          </w:drawing>
        </mc:Choice>
        <mc:Fallback>
          <w:pict>
            <v:shape id="文本框 4" o:spid="_x0000_s1026" o:spt="202" type="#_x0000_t202" style="position:absolute;left:0pt;margin-top:0pt;height:11.65pt;width:9.05pt;mso-position-horizontal:right;mso-position-horizontal-relative:margin;mso-wrap-style:none;z-index:251664384;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ul&#10;vw/RAAAAAwEAAA8AAAAAAAAAAQAgAAAAIgAAAGRycy9kb3ducmV2LnhtbFBLAQIUABQAAAAIAIdO&#10;4kDopEWg8QEAANQDAAAOAAAAAAAAAAEAIAAAACABAABkcnMvZTJvRG9jLnhtbFBLBQYAAAAABgAG&#10;AFkBAACDBQAAAAA=&#10;">
              <v:fill on="f" focussize="0,0"/>
              <v:stroke on="f"/>
              <v:imagedata o:title=""/>
              <o:lock v:ext="edit" aspectratio="f"/>
              <v:textbox inset="0mm,0mm,0mm,0mm" style="mso-fit-shape-to-text:t;">
                <w:txbxContent>
                  <w:p w14:paraId="0DE48D9D">
                    <w:pPr>
                      <w:pStyle w:val="11"/>
                      <w:rPr>
                        <w:rFonts w:ascii="宋体" w:hAnsi="宋体" w:eastAsia="宋体" w:cs="宋体"/>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6CC38">
    <w:pPr>
      <w:pStyle w:val="11"/>
      <w:tabs>
        <w:tab w:val="left" w:pos="4538"/>
        <w:tab w:val="clear" w:pos="4153"/>
        <w:tab w:val="clear" w:pos="8306"/>
      </w:tabs>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-104775</wp:posOffset>
              </wp:positionV>
              <wp:extent cx="133985" cy="17272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33985" cy="172720"/>
                      </a:xfrm>
                      <a:prstGeom prst="rect">
                        <a:avLst/>
                      </a:prstGeom>
                      <a:noFill/>
                      <a:ln w="6350">
                        <a:noFill/>
                      </a:ln>
                      <a:effectLst/>
                    </wps:spPr>
                    <wps:txbx>
                      <w:txbxContent>
                        <w:p w14:paraId="23259D0C">
                          <w:pPr>
                            <w:pStyle w:val="11"/>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  \* MERGEFORMAT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47</w:t>
                          </w:r>
                          <w:r>
                            <w:rPr>
                              <w:rFonts w:hint="default" w:ascii="Times New Roman" w:hAnsi="Times New Roman" w:eastAsia="宋体"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8.25pt;height:13.6pt;width:10.55pt;mso-position-horizontal:center;mso-position-horizontal-relative:margin;mso-wrap-style:none;z-index:251659264;mso-width-relative:page;mso-height-relative:page;" filled="f" stroked="f" coordsize="21600,21600" o:gfxdata="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rgW7O1AAAAAYBAAAPAAAAAAAAAAEAIAAAACIAAABkcnMvZG93bnJldi54&#10;bWxQSwECFAAUAAAACACHTuJA6VwNfjcCAABhBAAADgAAAAAAAAABACAAAAAjAQAAZHJzL2Uyb0Rv&#10;Yy54bWxQSwUGAAAAAAYABgBZAQAAzAUAAAAA&#10;">
              <v:fill on="f" focussize="0,0"/>
              <v:stroke on="f" weight="0.5pt"/>
              <v:imagedata o:title=""/>
              <o:lock v:ext="edit" aspectratio="f"/>
              <v:textbox inset="0mm,0mm,0mm,0mm" style="mso-fit-shape-to-text:t;">
                <w:txbxContent>
                  <w:p w14:paraId="23259D0C">
                    <w:pPr>
                      <w:pStyle w:val="11"/>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  \* MERGEFORMAT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47</w:t>
                    </w:r>
                    <w:r>
                      <w:rPr>
                        <w:rFonts w:hint="default" w:ascii="Times New Roman" w:hAnsi="Times New Roman" w:eastAsia="宋体" w:cs="Times New Roman"/>
                        <w:sz w:val="21"/>
                        <w:szCs w:val="21"/>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14935" cy="147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w="9525">
                        <a:noFill/>
                      </a:ln>
                      <a:effectLst/>
                    </wps:spPr>
                    <wps:txbx>
                      <w:txbxContent>
                        <w:p w14:paraId="12AA4CE5">
                          <w:pPr>
                            <w:pStyle w:val="11"/>
                            <w:rPr>
                              <w:rFonts w:ascii="宋体" w:hAnsi="宋体" w:eastAsia="宋体" w:cs="宋体"/>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9.05pt;mso-position-horizontal:right;mso-position-horizontal-relative:margin;mso-wrap-style:none;z-index:251662336;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ulvw/RAAAAAwEAAA8AAAAAAAAAAQAg&#10;AAAAIgAAAGRycy9kb3ducmV2LnhtbFBLAQIUABQAAAAIAIdO4kDqhbTP3AEAAK4DAAAOAAAAAAAA&#10;AAEAIAAAACABAABkcnMvZTJvRG9jLnhtbFBLBQYAAAAABgAGAFkBAABuBQAAAAA=&#10;">
              <v:fill on="f" focussize="0,0"/>
              <v:stroke on="f"/>
              <v:imagedata o:title=""/>
              <o:lock v:ext="edit" aspectratio="f"/>
              <v:textbox inset="0mm,0mm,0mm,0mm" style="mso-fit-shape-to-text:t;">
                <w:txbxContent>
                  <w:p w14:paraId="12AA4CE5">
                    <w:pPr>
                      <w:pStyle w:val="11"/>
                      <w:rPr>
                        <w:rFonts w:ascii="宋体" w:hAnsi="宋体" w:eastAsia="宋体" w:cs="宋体"/>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4E525">
    <w:pPr>
      <w:pStyle w:val="11"/>
      <w:tabs>
        <w:tab w:val="left" w:pos="4538"/>
        <w:tab w:val="clear" w:pos="4153"/>
        <w:tab w:val="clear" w:pos="8306"/>
      </w:tabs>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-104775</wp:posOffset>
              </wp:positionV>
              <wp:extent cx="133985" cy="17272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33985" cy="172720"/>
                      </a:xfrm>
                      <a:prstGeom prst="rect">
                        <a:avLst/>
                      </a:prstGeom>
                      <a:noFill/>
                      <a:ln w="6350">
                        <a:noFill/>
                      </a:ln>
                      <a:effectLst/>
                    </wps:spPr>
                    <wps:txbx>
                      <w:txbxContent>
                        <w:p w14:paraId="4FD9AE98">
                          <w:pPr>
                            <w:pStyle w:val="11"/>
                            <w:ind w:left="0" w:leftChars="0" w:firstLine="0" w:firstLineChars="0"/>
                            <w:rPr>
                              <w:rFonts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47</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 o:spid="_x0000_s1026" o:spt="202" type="#_x0000_t202" style="position:absolute;left:0pt;margin-top:-8.25pt;height:13.6pt;width:10.55pt;mso-position-horizontal:center;mso-position-horizontal-relative:margin;mso-wrap-style:none;z-index:251660288;mso-width-relative:page;mso-height-relative:page;" filled="f" stroked="f" coordsize="21600,21600" o:gfxdata="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rgW7O1AAAAAYBAAAPAAAAAAAAAAEAIAAAACIAAABkcnMvZG93bnJldi54&#10;bWxQSwECFAAUAAAACACHTuJA41HlqTcCAABhBAAADgAAAAAAAAABACAAAAAjAQAAZHJzL2Uyb0Rv&#10;Yy54bWxQSwUGAAAAAAYABgBZAQAAzAUAAAAA&#10;">
              <v:fill on="f" focussize="0,0"/>
              <v:stroke on="f" weight="0.5pt"/>
              <v:imagedata o:title=""/>
              <o:lock v:ext="edit" aspectratio="f"/>
              <v:textbox inset="0mm,0mm,0mm,0mm" style="mso-fit-shape-to-text:t;">
                <w:txbxContent>
                  <w:p w14:paraId="4FD9AE98">
                    <w:pPr>
                      <w:pStyle w:val="11"/>
                      <w:ind w:left="0" w:leftChars="0" w:firstLine="0" w:firstLineChars="0"/>
                      <w:rPr>
                        <w:rFonts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47</w:t>
                    </w:r>
                    <w:r>
                      <w:rPr>
                        <w:rFonts w:hint="eastAsia" w:ascii="宋体" w:hAnsi="宋体" w:eastAsia="宋体" w:cs="宋体"/>
                        <w:sz w:val="21"/>
                        <w:szCs w:val="21"/>
                      </w:rP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14935" cy="147955"/>
              <wp:effectExtent l="0" t="0" r="0" b="0"/>
              <wp:wrapNone/>
              <wp:docPr id="6" name="文本框 4"/>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w="9525">
                        <a:noFill/>
                      </a:ln>
                      <a:effectLst/>
                    </wps:spPr>
                    <wps:txbx>
                      <w:txbxContent>
                        <w:p w14:paraId="567A4C33">
                          <w:pPr>
                            <w:pStyle w:val="11"/>
                            <w:rPr>
                              <w:rFonts w:ascii="宋体" w:hAnsi="宋体" w:eastAsia="宋体" w:cs="宋体"/>
                            </w:rPr>
                          </w:pPr>
                        </w:p>
                      </w:txbxContent>
                    </wps:txbx>
                    <wps:bodyPr vert="horz" wrap="none" lIns="0" tIns="0" rIns="0" bIns="0" anchor="t" anchorCtr="0" upright="1">
                      <a:spAutoFit/>
                    </wps:bodyPr>
                  </wps:wsp>
                </a:graphicData>
              </a:graphic>
            </wp:anchor>
          </w:drawing>
        </mc:Choice>
        <mc:Fallback>
          <w:pict>
            <v:shape id="文本框 4" o:spid="_x0000_s1026" o:spt="202" type="#_x0000_t202" style="position:absolute;left:0pt;margin-top:0pt;height:11.65pt;width:9.05pt;mso-position-horizontal:right;mso-position-horizontal-relative:margin;mso-wrap-style:none;z-index:251663360;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ul&#10;vw/RAAAAAwEAAA8AAAAAAAAAAQAgAAAAIgAAAGRycy9kb3ducmV2LnhtbFBLAQIUABQAAAAIAIdO&#10;4kD2GK6i8QEAANMDAAAOAAAAAAAAAAEAIAAAACABAABkcnMvZTJvRG9jLnhtbFBLBQYAAAAABgAG&#10;AFkBAACDBQAAAAA=&#10;">
              <v:fill on="f" focussize="0,0"/>
              <v:stroke on="f"/>
              <v:imagedata o:title=""/>
              <o:lock v:ext="edit" aspectratio="f"/>
              <v:textbox inset="0mm,0mm,0mm,0mm" style="mso-fit-shape-to-text:t;">
                <w:txbxContent>
                  <w:p w14:paraId="567A4C33">
                    <w:pPr>
                      <w:pStyle w:val="11"/>
                      <w:rPr>
                        <w:rFonts w:ascii="宋体" w:hAnsi="宋体" w:eastAsia="宋体" w:cs="宋体"/>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line="324" w:lineRule="auto"/>
        <w:ind w:firstLine="640"/>
      </w:pPr>
      <w:r>
        <w:separator/>
      </w:r>
    </w:p>
  </w:footnote>
  <w:footnote w:type="continuationSeparator" w:id="5">
    <w:p>
      <w:pPr>
        <w:spacing w:line="324" w:lineRule="auto"/>
        <w:ind w:firstLine="640"/>
      </w:pPr>
      <w:r>
        <w:continuationSeparator/>
      </w:r>
    </w:p>
  </w:footnote>
  <w:footnote w:id="0">
    <w:p w14:paraId="185209DD">
      <w:pPr>
        <w:pStyle w:val="14"/>
        <w:snapToGrid w:val="0"/>
        <w:rPr>
          <w:sz w:val="21"/>
          <w:szCs w:val="21"/>
          <w:vertAlign w:val="baseline"/>
        </w:rPr>
      </w:pPr>
      <w:r>
        <w:rPr>
          <w:rStyle w:val="24"/>
          <w:sz w:val="21"/>
          <w:szCs w:val="21"/>
          <w:vertAlign w:val="baseline"/>
        </w:rPr>
        <w:footnoteRef/>
      </w:r>
      <w:r>
        <w:rPr>
          <w:sz w:val="21"/>
          <w:szCs w:val="21"/>
          <w:vertAlign w:val="baseline"/>
        </w:rPr>
        <w:t xml:space="preserve"> </w:t>
      </w:r>
      <w:r>
        <w:rPr>
          <w:rFonts w:hint="eastAsia"/>
          <w:sz w:val="21"/>
          <w:szCs w:val="21"/>
          <w:vertAlign w:val="baseline"/>
        </w:rPr>
        <w:t>《咸安区市场监管领域柔性执法清单》、《咸安区市场监督管理局规范行政执法、推进包容审慎管理的实施意见》</w:t>
      </w:r>
    </w:p>
  </w:footnote>
  <w:footnote w:id="1">
    <w:p w14:paraId="4C9FEDF8">
      <w:pPr>
        <w:pStyle w:val="14"/>
        <w:snapToGrid w:val="0"/>
        <w:rPr>
          <w:rFonts w:hint="eastAsia" w:eastAsia="仿宋"/>
          <w:sz w:val="21"/>
          <w:szCs w:val="21"/>
          <w:vertAlign w:val="baseline"/>
          <w:lang w:eastAsia="zh-CN"/>
        </w:rPr>
      </w:pPr>
      <w:r>
        <w:rPr>
          <w:rStyle w:val="24"/>
          <w:sz w:val="21"/>
          <w:szCs w:val="21"/>
          <w:vertAlign w:val="baseline"/>
        </w:rPr>
        <w:footnoteRef/>
      </w:r>
      <w:r>
        <w:rPr>
          <w:sz w:val="21"/>
          <w:szCs w:val="21"/>
          <w:vertAlign w:val="baseline"/>
        </w:rPr>
        <w:t xml:space="preserve"> </w:t>
      </w:r>
      <w:r>
        <w:rPr>
          <w:rFonts w:hint="eastAsia"/>
          <w:sz w:val="21"/>
          <w:szCs w:val="21"/>
          <w:vertAlign w:val="baseline"/>
        </w:rPr>
        <w:t>老旧小区、老旧厂区、老旧街区、城中村</w:t>
      </w:r>
      <w:r>
        <w:rPr>
          <w:rFonts w:hint="eastAsia"/>
          <w:sz w:val="21"/>
          <w:szCs w:val="21"/>
          <w:vertAlign w:val="baseline"/>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CECE3">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39374"/>
    <w:multiLevelType w:val="singleLevel"/>
    <w:tmpl w:val="B6D39374"/>
    <w:lvl w:ilvl="0" w:tentative="0">
      <w:start w:val="1"/>
      <w:numFmt w:val="decimal"/>
      <w:suff w:val="nothing"/>
      <w:lvlText w:val="%1．"/>
      <w:lvlJc w:val="left"/>
      <w:pPr>
        <w:ind w:left="0" w:firstLine="400"/>
      </w:pPr>
      <w:rPr>
        <w:rFonts w:hint="default"/>
      </w:rPr>
    </w:lvl>
  </w:abstractNum>
  <w:abstractNum w:abstractNumId="1">
    <w:nsid w:val="13D3AAF6"/>
    <w:multiLevelType w:val="singleLevel"/>
    <w:tmpl w:val="13D3AAF6"/>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4"/>
    <w:footnote w:id="5"/>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kNGJmNGY2OTZkNTg5ZGZjNTE0NGRiY2Q0YmEzNWQifQ=="/>
  </w:docVars>
  <w:rsids>
    <w:rsidRoot w:val="00000000"/>
    <w:rsid w:val="00555D54"/>
    <w:rsid w:val="00702588"/>
    <w:rsid w:val="00E754BA"/>
    <w:rsid w:val="00F5539C"/>
    <w:rsid w:val="00FF56BA"/>
    <w:rsid w:val="011B6706"/>
    <w:rsid w:val="013D1C62"/>
    <w:rsid w:val="014F6641"/>
    <w:rsid w:val="015D0CEF"/>
    <w:rsid w:val="015F5F58"/>
    <w:rsid w:val="018067FB"/>
    <w:rsid w:val="026B4D32"/>
    <w:rsid w:val="02DF4D9F"/>
    <w:rsid w:val="02F63AC2"/>
    <w:rsid w:val="037E16E8"/>
    <w:rsid w:val="03AF3D1A"/>
    <w:rsid w:val="0454563B"/>
    <w:rsid w:val="048538DF"/>
    <w:rsid w:val="054E170F"/>
    <w:rsid w:val="0588002A"/>
    <w:rsid w:val="062F00E4"/>
    <w:rsid w:val="06527420"/>
    <w:rsid w:val="06840B3B"/>
    <w:rsid w:val="06A50AB1"/>
    <w:rsid w:val="06CE28FC"/>
    <w:rsid w:val="070F1208"/>
    <w:rsid w:val="07740BAF"/>
    <w:rsid w:val="07A174CB"/>
    <w:rsid w:val="0856659F"/>
    <w:rsid w:val="08836BD0"/>
    <w:rsid w:val="08A329ED"/>
    <w:rsid w:val="09112914"/>
    <w:rsid w:val="093D792E"/>
    <w:rsid w:val="09D958B5"/>
    <w:rsid w:val="0A83110A"/>
    <w:rsid w:val="0AEF6F51"/>
    <w:rsid w:val="0B4224BD"/>
    <w:rsid w:val="0C281F69"/>
    <w:rsid w:val="0C5670A7"/>
    <w:rsid w:val="0C9A31E7"/>
    <w:rsid w:val="0D373DD9"/>
    <w:rsid w:val="0D7D4536"/>
    <w:rsid w:val="0DF67488"/>
    <w:rsid w:val="0E3B41D8"/>
    <w:rsid w:val="0EA37FCC"/>
    <w:rsid w:val="0EA67017"/>
    <w:rsid w:val="0EBC61A4"/>
    <w:rsid w:val="0EEF176E"/>
    <w:rsid w:val="0EF820C6"/>
    <w:rsid w:val="0F0D7B30"/>
    <w:rsid w:val="0F503CB0"/>
    <w:rsid w:val="0F6920D4"/>
    <w:rsid w:val="0F7A2ADB"/>
    <w:rsid w:val="0FD542FC"/>
    <w:rsid w:val="0FD71235"/>
    <w:rsid w:val="100C3063"/>
    <w:rsid w:val="10575D88"/>
    <w:rsid w:val="108F5133"/>
    <w:rsid w:val="10F70AF5"/>
    <w:rsid w:val="11123798"/>
    <w:rsid w:val="115F146F"/>
    <w:rsid w:val="116013AE"/>
    <w:rsid w:val="117105C9"/>
    <w:rsid w:val="117F42A5"/>
    <w:rsid w:val="11B04EDA"/>
    <w:rsid w:val="12AE7BCD"/>
    <w:rsid w:val="12DC69DD"/>
    <w:rsid w:val="133864A6"/>
    <w:rsid w:val="13BE068B"/>
    <w:rsid w:val="146B50E8"/>
    <w:rsid w:val="148D505F"/>
    <w:rsid w:val="14AB3737"/>
    <w:rsid w:val="15360BA0"/>
    <w:rsid w:val="1540687E"/>
    <w:rsid w:val="15C3271C"/>
    <w:rsid w:val="15EC7122"/>
    <w:rsid w:val="1735378C"/>
    <w:rsid w:val="174A0CB7"/>
    <w:rsid w:val="178529CB"/>
    <w:rsid w:val="17FC352E"/>
    <w:rsid w:val="182072A4"/>
    <w:rsid w:val="193F2AAF"/>
    <w:rsid w:val="19F53E00"/>
    <w:rsid w:val="1A8E049E"/>
    <w:rsid w:val="1AF2120E"/>
    <w:rsid w:val="1B157B5C"/>
    <w:rsid w:val="1B2210BB"/>
    <w:rsid w:val="1B281F85"/>
    <w:rsid w:val="1B2C0FA2"/>
    <w:rsid w:val="1BD87507"/>
    <w:rsid w:val="1CDB1039"/>
    <w:rsid w:val="1D1A58FD"/>
    <w:rsid w:val="1D79394F"/>
    <w:rsid w:val="1D897623"/>
    <w:rsid w:val="1E0C3498"/>
    <w:rsid w:val="1FFE648A"/>
    <w:rsid w:val="203203DD"/>
    <w:rsid w:val="20F621DE"/>
    <w:rsid w:val="212705E9"/>
    <w:rsid w:val="21356B41"/>
    <w:rsid w:val="22421B7E"/>
    <w:rsid w:val="22C91FC4"/>
    <w:rsid w:val="233314C7"/>
    <w:rsid w:val="236C507E"/>
    <w:rsid w:val="23B6735E"/>
    <w:rsid w:val="243D10FD"/>
    <w:rsid w:val="24A93ED2"/>
    <w:rsid w:val="25215245"/>
    <w:rsid w:val="25935D89"/>
    <w:rsid w:val="26407E20"/>
    <w:rsid w:val="26845604"/>
    <w:rsid w:val="27247AA4"/>
    <w:rsid w:val="27291F80"/>
    <w:rsid w:val="274B6F9C"/>
    <w:rsid w:val="275B0ECF"/>
    <w:rsid w:val="27DE2B4C"/>
    <w:rsid w:val="283E2495"/>
    <w:rsid w:val="286B7B52"/>
    <w:rsid w:val="28707061"/>
    <w:rsid w:val="293D2D79"/>
    <w:rsid w:val="29746F76"/>
    <w:rsid w:val="29AC2DD9"/>
    <w:rsid w:val="29B53FB5"/>
    <w:rsid w:val="29C540E8"/>
    <w:rsid w:val="29E12900"/>
    <w:rsid w:val="29EB68D2"/>
    <w:rsid w:val="2A4171B6"/>
    <w:rsid w:val="2A4E07B4"/>
    <w:rsid w:val="2A7D74CC"/>
    <w:rsid w:val="2A846648"/>
    <w:rsid w:val="2B1C0A93"/>
    <w:rsid w:val="2B6E0774"/>
    <w:rsid w:val="2BBA58C2"/>
    <w:rsid w:val="2CD434F0"/>
    <w:rsid w:val="2CEB696E"/>
    <w:rsid w:val="2D067C4C"/>
    <w:rsid w:val="2D62434D"/>
    <w:rsid w:val="2DC25C9A"/>
    <w:rsid w:val="2E0979F4"/>
    <w:rsid w:val="2E896CB7"/>
    <w:rsid w:val="2EEC098E"/>
    <w:rsid w:val="2F4200F7"/>
    <w:rsid w:val="2F573CF2"/>
    <w:rsid w:val="2F9C19B7"/>
    <w:rsid w:val="2FEF6121"/>
    <w:rsid w:val="30010B0A"/>
    <w:rsid w:val="30727709"/>
    <w:rsid w:val="30845306"/>
    <w:rsid w:val="30CD2F5B"/>
    <w:rsid w:val="30E95113"/>
    <w:rsid w:val="31BE12BE"/>
    <w:rsid w:val="323B4786"/>
    <w:rsid w:val="333F5C66"/>
    <w:rsid w:val="33F20EF2"/>
    <w:rsid w:val="34193FD5"/>
    <w:rsid w:val="342235BE"/>
    <w:rsid w:val="34270EEE"/>
    <w:rsid w:val="34CB15A4"/>
    <w:rsid w:val="34F76D6A"/>
    <w:rsid w:val="35C66747"/>
    <w:rsid w:val="35D14602"/>
    <w:rsid w:val="36841EFC"/>
    <w:rsid w:val="376E08C8"/>
    <w:rsid w:val="37BA1F7A"/>
    <w:rsid w:val="38172D0E"/>
    <w:rsid w:val="386A65C7"/>
    <w:rsid w:val="38D429AD"/>
    <w:rsid w:val="39612521"/>
    <w:rsid w:val="39732F23"/>
    <w:rsid w:val="39820F81"/>
    <w:rsid w:val="39F81B43"/>
    <w:rsid w:val="3A3A110D"/>
    <w:rsid w:val="3A4630C0"/>
    <w:rsid w:val="3A4D4940"/>
    <w:rsid w:val="3A906181"/>
    <w:rsid w:val="3AA50161"/>
    <w:rsid w:val="3BD553B9"/>
    <w:rsid w:val="3C1822A1"/>
    <w:rsid w:val="3C1F404D"/>
    <w:rsid w:val="3C8A2E1F"/>
    <w:rsid w:val="3CA01DC2"/>
    <w:rsid w:val="3EEF1B7B"/>
    <w:rsid w:val="3F1E7077"/>
    <w:rsid w:val="3F6D6689"/>
    <w:rsid w:val="3FEF351B"/>
    <w:rsid w:val="3FF35E0E"/>
    <w:rsid w:val="40330B97"/>
    <w:rsid w:val="40750522"/>
    <w:rsid w:val="419533EF"/>
    <w:rsid w:val="419A07BF"/>
    <w:rsid w:val="419C22BA"/>
    <w:rsid w:val="424C5CAA"/>
    <w:rsid w:val="44281843"/>
    <w:rsid w:val="445E06B4"/>
    <w:rsid w:val="44C50A1A"/>
    <w:rsid w:val="44CE7891"/>
    <w:rsid w:val="458B1E6D"/>
    <w:rsid w:val="45997458"/>
    <w:rsid w:val="46C510A9"/>
    <w:rsid w:val="481D3428"/>
    <w:rsid w:val="48553A7C"/>
    <w:rsid w:val="487D4E0F"/>
    <w:rsid w:val="489177E2"/>
    <w:rsid w:val="489F6626"/>
    <w:rsid w:val="490320DF"/>
    <w:rsid w:val="49690EEF"/>
    <w:rsid w:val="49BC3467"/>
    <w:rsid w:val="4A251F90"/>
    <w:rsid w:val="4A40538C"/>
    <w:rsid w:val="4A676AAB"/>
    <w:rsid w:val="4A96396C"/>
    <w:rsid w:val="4A9A136A"/>
    <w:rsid w:val="4AC65E30"/>
    <w:rsid w:val="4AD127C8"/>
    <w:rsid w:val="4AFD2984"/>
    <w:rsid w:val="4B016E9A"/>
    <w:rsid w:val="4B0F6777"/>
    <w:rsid w:val="4B350345"/>
    <w:rsid w:val="4B36505C"/>
    <w:rsid w:val="4BDA5890"/>
    <w:rsid w:val="4BE01E5B"/>
    <w:rsid w:val="4CC12B4B"/>
    <w:rsid w:val="4D484D17"/>
    <w:rsid w:val="4D4C2D04"/>
    <w:rsid w:val="4D8E53C8"/>
    <w:rsid w:val="4DB72E75"/>
    <w:rsid w:val="4E781C93"/>
    <w:rsid w:val="4ED35D95"/>
    <w:rsid w:val="4F4F591C"/>
    <w:rsid w:val="4F5F63A7"/>
    <w:rsid w:val="4F9A44F8"/>
    <w:rsid w:val="50A30961"/>
    <w:rsid w:val="50DC644B"/>
    <w:rsid w:val="51D412E5"/>
    <w:rsid w:val="52B26B8B"/>
    <w:rsid w:val="536C1D08"/>
    <w:rsid w:val="537954D9"/>
    <w:rsid w:val="538527C7"/>
    <w:rsid w:val="538664CC"/>
    <w:rsid w:val="54081D74"/>
    <w:rsid w:val="54B248F6"/>
    <w:rsid w:val="54C62DD2"/>
    <w:rsid w:val="55377048"/>
    <w:rsid w:val="55766EE2"/>
    <w:rsid w:val="557810E0"/>
    <w:rsid w:val="564D21BB"/>
    <w:rsid w:val="565576A3"/>
    <w:rsid w:val="566D6A2E"/>
    <w:rsid w:val="575823DC"/>
    <w:rsid w:val="57EF1F13"/>
    <w:rsid w:val="584D65AC"/>
    <w:rsid w:val="592310BA"/>
    <w:rsid w:val="597015BE"/>
    <w:rsid w:val="5A010931"/>
    <w:rsid w:val="5B10754C"/>
    <w:rsid w:val="5BBB4AE3"/>
    <w:rsid w:val="5C165A5C"/>
    <w:rsid w:val="5C8648E5"/>
    <w:rsid w:val="5D0E20D7"/>
    <w:rsid w:val="5D1C017C"/>
    <w:rsid w:val="5D347D3A"/>
    <w:rsid w:val="5DEA612A"/>
    <w:rsid w:val="5E2A338A"/>
    <w:rsid w:val="5E470D46"/>
    <w:rsid w:val="5E9E47E2"/>
    <w:rsid w:val="5EFE5508"/>
    <w:rsid w:val="5F28567D"/>
    <w:rsid w:val="60B2257B"/>
    <w:rsid w:val="60BF52EF"/>
    <w:rsid w:val="61B72CE8"/>
    <w:rsid w:val="625B6730"/>
    <w:rsid w:val="62C70D09"/>
    <w:rsid w:val="62FE04A2"/>
    <w:rsid w:val="63351269"/>
    <w:rsid w:val="63945FD4"/>
    <w:rsid w:val="63FD6767"/>
    <w:rsid w:val="644C7B14"/>
    <w:rsid w:val="646F395B"/>
    <w:rsid w:val="646F486F"/>
    <w:rsid w:val="64B914F2"/>
    <w:rsid w:val="64CC3F71"/>
    <w:rsid w:val="64FD1983"/>
    <w:rsid w:val="65010A76"/>
    <w:rsid w:val="650B321A"/>
    <w:rsid w:val="65355E7E"/>
    <w:rsid w:val="65A84D03"/>
    <w:rsid w:val="65D940BA"/>
    <w:rsid w:val="65DD0843"/>
    <w:rsid w:val="665C4253"/>
    <w:rsid w:val="671637EE"/>
    <w:rsid w:val="679B2764"/>
    <w:rsid w:val="67E65452"/>
    <w:rsid w:val="680D18B3"/>
    <w:rsid w:val="689761B5"/>
    <w:rsid w:val="699C4875"/>
    <w:rsid w:val="69DB53E1"/>
    <w:rsid w:val="69E952BD"/>
    <w:rsid w:val="6A5D60E1"/>
    <w:rsid w:val="6AAA4A3B"/>
    <w:rsid w:val="6BB32772"/>
    <w:rsid w:val="6C6D7ADF"/>
    <w:rsid w:val="6CAD5413"/>
    <w:rsid w:val="6D224464"/>
    <w:rsid w:val="6D726311"/>
    <w:rsid w:val="6E01400D"/>
    <w:rsid w:val="6E0E3C8F"/>
    <w:rsid w:val="6E241705"/>
    <w:rsid w:val="6E641B01"/>
    <w:rsid w:val="6EAB3BD4"/>
    <w:rsid w:val="6F1352D6"/>
    <w:rsid w:val="6FA36F51"/>
    <w:rsid w:val="6FBD3DD5"/>
    <w:rsid w:val="6FD2D615"/>
    <w:rsid w:val="70161521"/>
    <w:rsid w:val="70EF3EC0"/>
    <w:rsid w:val="710475CC"/>
    <w:rsid w:val="7113780F"/>
    <w:rsid w:val="718C1A9B"/>
    <w:rsid w:val="71D63A33"/>
    <w:rsid w:val="72B229EC"/>
    <w:rsid w:val="73723502"/>
    <w:rsid w:val="73A87BCC"/>
    <w:rsid w:val="73DF673A"/>
    <w:rsid w:val="73E14438"/>
    <w:rsid w:val="74AD4868"/>
    <w:rsid w:val="754652C1"/>
    <w:rsid w:val="75542870"/>
    <w:rsid w:val="757D6A15"/>
    <w:rsid w:val="75F51C12"/>
    <w:rsid w:val="768076F4"/>
    <w:rsid w:val="76894FC1"/>
    <w:rsid w:val="76BC1447"/>
    <w:rsid w:val="76C010E3"/>
    <w:rsid w:val="77372AE7"/>
    <w:rsid w:val="778F40C6"/>
    <w:rsid w:val="779A4564"/>
    <w:rsid w:val="77C43611"/>
    <w:rsid w:val="77C91904"/>
    <w:rsid w:val="77F42932"/>
    <w:rsid w:val="78621346"/>
    <w:rsid w:val="78A15D20"/>
    <w:rsid w:val="78C80EDF"/>
    <w:rsid w:val="790F4D60"/>
    <w:rsid w:val="7936290C"/>
    <w:rsid w:val="79712057"/>
    <w:rsid w:val="797366DB"/>
    <w:rsid w:val="79AC4B6F"/>
    <w:rsid w:val="7A071433"/>
    <w:rsid w:val="7A717E72"/>
    <w:rsid w:val="7AEF3526"/>
    <w:rsid w:val="7B745B39"/>
    <w:rsid w:val="7C7A6994"/>
    <w:rsid w:val="7CB43C54"/>
    <w:rsid w:val="7D2D0789"/>
    <w:rsid w:val="7D7B0C16"/>
    <w:rsid w:val="7DAF16BA"/>
    <w:rsid w:val="7DB61C4E"/>
    <w:rsid w:val="7DCF7766"/>
    <w:rsid w:val="7DEC76CD"/>
    <w:rsid w:val="7E920113"/>
    <w:rsid w:val="7E9D0284"/>
    <w:rsid w:val="7F026D70"/>
    <w:rsid w:val="7F265B78"/>
    <w:rsid w:val="7F5E3327"/>
    <w:rsid w:val="7F5F4186"/>
    <w:rsid w:val="7F735F98"/>
    <w:rsid w:val="7FAE2F34"/>
    <w:rsid w:val="A6FF1E7A"/>
    <w:rsid w:val="DFE73B5D"/>
    <w:rsid w:val="DFFD3461"/>
    <w:rsid w:val="EFF3D801"/>
    <w:rsid w:val="FDF728A6"/>
    <w:rsid w:val="FF5F6945"/>
    <w:rsid w:val="FFFA0B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5"/>
    <w:qFormat/>
    <w:uiPriority w:val="0"/>
    <w:pPr>
      <w:widowControl w:val="0"/>
      <w:adjustRightInd w:val="0"/>
      <w:snapToGrid w:val="0"/>
      <w:spacing w:line="324" w:lineRule="auto"/>
      <w:ind w:firstLine="880" w:firstLineChars="200"/>
      <w:jc w:val="both"/>
    </w:pPr>
    <w:rPr>
      <w:rFonts w:ascii="仿宋" w:hAnsi="仿宋" w:eastAsia="仿宋" w:cs="Times New Roman"/>
      <w:kern w:val="2"/>
      <w:sz w:val="32"/>
      <w:szCs w:val="22"/>
      <w:lang w:val="en-US" w:eastAsia="zh-CN" w:bidi="ar-SA"/>
    </w:rPr>
  </w:style>
  <w:style w:type="paragraph" w:styleId="4">
    <w:name w:val="heading 1"/>
    <w:basedOn w:val="1"/>
    <w:next w:val="1"/>
    <w:qFormat/>
    <w:uiPriority w:val="0"/>
    <w:pPr>
      <w:keepNext/>
      <w:keepLines/>
      <w:spacing w:before="100" w:beforeLines="100" w:beforeAutospacing="0" w:after="100" w:afterLines="100" w:afterAutospacing="0" w:line="240" w:lineRule="auto"/>
      <w:ind w:firstLine="880" w:firstLineChars="200"/>
      <w:jc w:val="both"/>
      <w:outlineLvl w:val="0"/>
    </w:pPr>
    <w:rPr>
      <w:rFonts w:eastAsia="黑体"/>
      <w:kern w:val="44"/>
    </w:rPr>
  </w:style>
  <w:style w:type="paragraph" w:styleId="5">
    <w:name w:val="heading 2"/>
    <w:basedOn w:val="1"/>
    <w:next w:val="1"/>
    <w:unhideWhenUsed/>
    <w:qFormat/>
    <w:uiPriority w:val="0"/>
    <w:pPr>
      <w:keepNext/>
      <w:keepLines/>
      <w:spacing w:before="50" w:beforeLines="50" w:beforeAutospacing="0" w:after="50" w:afterLines="50" w:afterAutospacing="0" w:line="240" w:lineRule="auto"/>
      <w:outlineLvl w:val="1"/>
    </w:pPr>
    <w:rPr>
      <w:rFonts w:ascii="Times New Roman" w:hAnsi="Times New Roman" w:eastAsia="楷体"/>
      <w:b/>
    </w:rPr>
  </w:style>
  <w:style w:type="paragraph" w:styleId="6">
    <w:name w:val="heading 3"/>
    <w:basedOn w:val="1"/>
    <w:next w:val="1"/>
    <w:link w:val="31"/>
    <w:unhideWhenUsed/>
    <w:qFormat/>
    <w:uiPriority w:val="0"/>
    <w:pPr>
      <w:keepNext/>
      <w:keepLines/>
      <w:spacing w:beforeLines="0" w:beforeAutospacing="0" w:afterLines="0" w:afterAutospacing="0" w:line="324" w:lineRule="auto"/>
      <w:outlineLvl w:val="2"/>
    </w:pPr>
    <w:rPr>
      <w:rFonts w:ascii="仿宋" w:hAnsi="仿宋"/>
      <w:b/>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pPr>
  </w:style>
  <w:style w:type="paragraph" w:styleId="3">
    <w:name w:val="Body Text Indent"/>
    <w:basedOn w:val="1"/>
    <w:next w:val="1"/>
    <w:unhideWhenUsed/>
    <w:qFormat/>
    <w:uiPriority w:val="99"/>
    <w:pPr>
      <w:spacing w:after="120"/>
      <w:ind w:left="420" w:leftChars="200"/>
    </w:pPr>
  </w:style>
  <w:style w:type="paragraph" w:styleId="7">
    <w:name w:val="Normal Indent"/>
    <w:basedOn w:val="1"/>
    <w:qFormat/>
    <w:uiPriority w:val="0"/>
    <w:pPr>
      <w:ind w:firstLine="567"/>
    </w:pPr>
    <w:rPr>
      <w:rFonts w:ascii="Calibri" w:hAnsi="Calibri" w:eastAsia="仿宋_GB2312"/>
      <w:color w:val="FF0000"/>
      <w:sz w:val="32"/>
    </w:rPr>
  </w:style>
  <w:style w:type="paragraph" w:styleId="8">
    <w:name w:val="annotation text"/>
    <w:basedOn w:val="1"/>
    <w:qFormat/>
    <w:uiPriority w:val="0"/>
    <w:pPr>
      <w:jc w:val="left"/>
    </w:pPr>
  </w:style>
  <w:style w:type="paragraph" w:styleId="9">
    <w:name w:val="Body Text"/>
    <w:basedOn w:val="1"/>
    <w:next w:val="10"/>
    <w:qFormat/>
    <w:uiPriority w:val="0"/>
    <w:pPr>
      <w:spacing w:after="120" w:afterLines="0" w:afterAutospacing="0"/>
    </w:pPr>
  </w:style>
  <w:style w:type="paragraph" w:styleId="10">
    <w:name w:val="Body Text First Indent"/>
    <w:basedOn w:val="9"/>
    <w:unhideWhenUsed/>
    <w:qFormat/>
    <w:uiPriority w:val="99"/>
    <w:pPr>
      <w:spacing w:line="500" w:lineRule="exact"/>
      <w:ind w:firstLine="420"/>
    </w:pPr>
    <w:rPr>
      <w:sz w:val="28"/>
      <w:szCs w:val="20"/>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rPr>
  </w:style>
  <w:style w:type="paragraph" w:styleId="15">
    <w:name w:val="toc 2"/>
    <w:basedOn w:val="1"/>
    <w:next w:val="1"/>
    <w:qFormat/>
    <w:uiPriority w:val="0"/>
    <w:pPr>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Title"/>
    <w:basedOn w:val="1"/>
    <w:next w:val="1"/>
    <w:qFormat/>
    <w:uiPriority w:val="99"/>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Emphasis"/>
    <w:basedOn w:val="20"/>
    <w:qFormat/>
    <w:uiPriority w:val="0"/>
    <w:rPr>
      <w:i/>
    </w:rPr>
  </w:style>
  <w:style w:type="character" w:styleId="23">
    <w:name w:val="Hyperlink"/>
    <w:basedOn w:val="20"/>
    <w:qFormat/>
    <w:uiPriority w:val="0"/>
    <w:rPr>
      <w:color w:val="0000FF"/>
      <w:u w:val="single"/>
    </w:rPr>
  </w:style>
  <w:style w:type="character" w:styleId="24">
    <w:name w:val="footnote reference"/>
    <w:basedOn w:val="20"/>
    <w:qFormat/>
    <w:uiPriority w:val="0"/>
    <w:rPr>
      <w:vertAlign w:val="superscript"/>
    </w:rPr>
  </w:style>
  <w:style w:type="character" w:customStyle="1" w:styleId="25">
    <w:name w:val="NormalCharacter"/>
    <w:link w:val="1"/>
    <w:qFormat/>
    <w:uiPriority w:val="0"/>
    <w:rPr>
      <w:rFonts w:ascii="仿宋" w:hAnsi="仿宋" w:eastAsia="仿宋" w:cs="Times New Roman"/>
      <w:kern w:val="2"/>
      <w:sz w:val="32"/>
      <w:szCs w:val="22"/>
      <w:lang w:val="en-US" w:eastAsia="zh-CN" w:bidi="ar-SA"/>
    </w:rPr>
  </w:style>
  <w:style w:type="character" w:customStyle="1" w:styleId="26">
    <w:name w:val="font31"/>
    <w:basedOn w:val="20"/>
    <w:qFormat/>
    <w:uiPriority w:val="0"/>
    <w:rPr>
      <w:rFonts w:hint="eastAsia" w:ascii="宋体" w:hAnsi="宋体" w:eastAsia="宋体" w:cs="宋体"/>
      <w:color w:val="000000"/>
      <w:sz w:val="24"/>
      <w:szCs w:val="24"/>
      <w:u w:val="none"/>
    </w:rPr>
  </w:style>
  <w:style w:type="character" w:customStyle="1" w:styleId="27">
    <w:name w:val="font11"/>
    <w:basedOn w:val="20"/>
    <w:qFormat/>
    <w:uiPriority w:val="0"/>
    <w:rPr>
      <w:rFonts w:hint="eastAsia" w:ascii="黑体" w:hAnsi="宋体" w:eastAsia="黑体" w:cs="黑体"/>
      <w:color w:val="000000"/>
      <w:sz w:val="18"/>
      <w:szCs w:val="18"/>
      <w:u w:val="none"/>
    </w:rPr>
  </w:style>
  <w:style w:type="character" w:customStyle="1" w:styleId="28">
    <w:name w:val="font21"/>
    <w:basedOn w:val="20"/>
    <w:qFormat/>
    <w:uiPriority w:val="0"/>
    <w:rPr>
      <w:rFonts w:hint="eastAsia" w:ascii="宋体" w:hAnsi="宋体" w:eastAsia="宋体" w:cs="宋体"/>
      <w:color w:val="000000"/>
      <w:sz w:val="18"/>
      <w:szCs w:val="18"/>
      <w:u w:val="none"/>
    </w:rPr>
  </w:style>
  <w:style w:type="character" w:customStyle="1" w:styleId="29">
    <w:name w:val="font41"/>
    <w:basedOn w:val="20"/>
    <w:qFormat/>
    <w:uiPriority w:val="0"/>
    <w:rPr>
      <w:rFonts w:hint="eastAsia" w:ascii="宋体" w:hAnsi="宋体" w:eastAsia="宋体" w:cs="宋体"/>
      <w:color w:val="000000"/>
      <w:sz w:val="18"/>
      <w:szCs w:val="18"/>
      <w:u w:val="none"/>
    </w:rPr>
  </w:style>
  <w:style w:type="character" w:customStyle="1" w:styleId="30">
    <w:name w:val="font61"/>
    <w:basedOn w:val="20"/>
    <w:qFormat/>
    <w:uiPriority w:val="0"/>
    <w:rPr>
      <w:rFonts w:hint="eastAsia" w:ascii="宋体" w:hAnsi="宋体" w:eastAsia="宋体" w:cs="宋体"/>
      <w:color w:val="000000"/>
      <w:sz w:val="18"/>
      <w:szCs w:val="18"/>
      <w:u w:val="none"/>
    </w:rPr>
  </w:style>
  <w:style w:type="character" w:customStyle="1" w:styleId="31">
    <w:name w:val="标题 3 Char"/>
    <w:link w:val="6"/>
    <w:qFormat/>
    <w:uiPriority w:val="0"/>
    <w:rPr>
      <w:rFonts w:ascii="仿宋" w:hAnsi="仿宋"/>
      <w:b/>
    </w:rPr>
  </w:style>
  <w:style w:type="character" w:customStyle="1" w:styleId="32">
    <w:name w:val="font101"/>
    <w:basedOn w:val="20"/>
    <w:qFormat/>
    <w:uiPriority w:val="0"/>
    <w:rPr>
      <w:rFonts w:hint="default" w:ascii="Arial" w:hAnsi="Arial" w:cs="Arial"/>
      <w:color w:val="333333"/>
      <w:sz w:val="19"/>
      <w:szCs w:val="19"/>
      <w:u w:val="none"/>
    </w:rPr>
  </w:style>
  <w:style w:type="character" w:customStyle="1" w:styleId="33">
    <w:name w:val="font141"/>
    <w:basedOn w:val="20"/>
    <w:qFormat/>
    <w:uiPriority w:val="0"/>
    <w:rPr>
      <w:rFonts w:hint="default" w:ascii="Arial" w:hAnsi="Arial" w:cs="Arial"/>
      <w:color w:val="FF0000"/>
      <w:sz w:val="19"/>
      <w:szCs w:val="19"/>
      <w:u w:val="none"/>
    </w:rPr>
  </w:style>
  <w:style w:type="character" w:customStyle="1" w:styleId="34">
    <w:name w:val="font51"/>
    <w:basedOn w:val="20"/>
    <w:qFormat/>
    <w:uiPriority w:val="0"/>
    <w:rPr>
      <w:rFonts w:hint="default" w:ascii="Times New Roman" w:hAnsi="Times New Roman" w:cs="Times New Roman"/>
      <w:color w:val="000000"/>
      <w:sz w:val="18"/>
      <w:szCs w:val="18"/>
      <w:u w:val="none"/>
    </w:rPr>
  </w:style>
  <w:style w:type="character" w:customStyle="1" w:styleId="35">
    <w:name w:val="font71"/>
    <w:basedOn w:val="20"/>
    <w:qFormat/>
    <w:uiPriority w:val="0"/>
    <w:rPr>
      <w:rFonts w:hint="eastAsia" w:ascii="宋体" w:hAnsi="宋体" w:eastAsia="宋体" w:cs="宋体"/>
      <w:color w:val="FF0000"/>
      <w:sz w:val="19"/>
      <w:szCs w:val="19"/>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79</Pages>
  <Words>13008</Words>
  <Characters>14331</Characters>
  <Lines>0</Lines>
  <Paragraphs>0</Paragraphs>
  <TotalTime>219</TotalTime>
  <ScaleCrop>false</ScaleCrop>
  <LinksUpToDate>false</LinksUpToDate>
  <CharactersWithSpaces>14402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2023-06-26T22:07:00Z</dcterms:created>
  <dc:creator>lenovo</dc:creator>
  <cp:lastModifiedBy> FSY</cp:lastModifiedBy>
  <cp:lastPrinted>2023-11-01T10:50:00Z</cp:lastPrinted>
  <dcterms:modified xsi:type="dcterms:W3CDTF">2025-03-07T02:17:42Z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2D3731B38D6E4679AC2B1883625FEF3B_13</vt:lpwstr>
  </property>
  <property fmtid="{D5CDD505-2E9C-101B-9397-08002B2CF9AE}" pid="4" name="KSOTemplateDocerSaveRecord">
    <vt:lpwstr>eyJoZGlkIjoiMTE5YTJmMDk0MWNhNDA2MGE1YzM4NDk4ODYwZGE1NWQiLCJ1c2VySWQiOiIyMTI5MDYwNDYifQ==</vt:lpwstr>
  </property>
</Properties>
</file>